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C4F" w:rsidRDefault="00F22C4F" w:rsidP="00F22C4F">
      <w:pPr>
        <w:ind w:left="73" w:right="74" w:hanging="24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KOREKTA  nr 4 ogłoszenia NZ)4100)1300008072)19</w:t>
      </w:r>
    </w:p>
    <w:p w:rsidR="00F22C4F" w:rsidRDefault="00F22C4F" w:rsidP="00F22C4F">
      <w:pPr>
        <w:ind w:left="73" w:right="74" w:hanging="249"/>
        <w:jc w:val="center"/>
        <w:rPr>
          <w:rFonts w:cs="Calibri"/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684B6D">
        <w:rPr>
          <w:b/>
          <w:bCs/>
          <w:sz w:val="24"/>
          <w:szCs w:val="24"/>
        </w:rPr>
        <w:t xml:space="preserve">na   wykonanie </w:t>
      </w:r>
      <w:r w:rsidRPr="00684B6D">
        <w:rPr>
          <w:rFonts w:cs="Calibri"/>
          <w:b/>
          <w:sz w:val="24"/>
          <w:szCs w:val="24"/>
        </w:rPr>
        <w:t>rozbudowy i modernizacji istniejącej oczyszczalni ścieków Instalacji Odsiarczania Spalin w Enea Połaniec S.A. w celu spełnienia wymagań wynikających z Konkluzji BAT</w:t>
      </w:r>
      <w:r w:rsidRPr="00684B6D" w:rsidDel="00E525A3">
        <w:rPr>
          <w:rFonts w:cs="Calibri"/>
          <w:b/>
          <w:sz w:val="24"/>
          <w:szCs w:val="24"/>
        </w:rPr>
        <w:t xml:space="preserve"> </w:t>
      </w:r>
      <w:r w:rsidRPr="00684B6D">
        <w:rPr>
          <w:rFonts w:cs="Arial"/>
          <w:b/>
          <w:sz w:val="24"/>
          <w:szCs w:val="24"/>
        </w:rPr>
        <w:t>w Enea Połaniec</w:t>
      </w:r>
      <w:r w:rsidRPr="00684B6D">
        <w:rPr>
          <w:rFonts w:cs="Calibri"/>
          <w:b/>
          <w:sz w:val="24"/>
          <w:szCs w:val="24"/>
        </w:rPr>
        <w:t xml:space="preserve"> S.A. </w:t>
      </w:r>
    </w:p>
    <w:p w:rsidR="007141BE" w:rsidRDefault="007141BE" w:rsidP="007141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lang w:eastAsia="pl-PL"/>
        </w:rPr>
      </w:pPr>
    </w:p>
    <w:p w:rsidR="007141BE" w:rsidRDefault="007141BE" w:rsidP="007141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eastAsia="pl-PL"/>
        </w:rPr>
      </w:pPr>
      <w:r>
        <w:rPr>
          <w:rFonts w:ascii="Calibri" w:hAnsi="Calibri" w:cs="Calibri"/>
          <w:color w:val="000000"/>
          <w:lang w:eastAsia="pl-PL"/>
        </w:rPr>
        <w:t xml:space="preserve">W związku z wnioskami i pytaniami  oferentów </w:t>
      </w:r>
      <w:r w:rsidR="0040197D">
        <w:rPr>
          <w:rFonts w:ascii="Calibri" w:hAnsi="Calibri" w:cs="Calibri"/>
          <w:color w:val="000000"/>
          <w:lang w:eastAsia="pl-PL"/>
        </w:rPr>
        <w:t>dokonujemy modyfi</w:t>
      </w:r>
      <w:r>
        <w:rPr>
          <w:rFonts w:ascii="Calibri" w:hAnsi="Calibri" w:cs="Calibri"/>
          <w:color w:val="000000"/>
          <w:lang w:eastAsia="pl-PL"/>
        </w:rPr>
        <w:t>k</w:t>
      </w:r>
      <w:r w:rsidR="0040197D">
        <w:rPr>
          <w:rFonts w:ascii="Calibri" w:hAnsi="Calibri" w:cs="Calibri"/>
          <w:color w:val="000000"/>
          <w:lang w:eastAsia="pl-PL"/>
        </w:rPr>
        <w:t>a</w:t>
      </w:r>
      <w:r>
        <w:rPr>
          <w:rFonts w:ascii="Calibri" w:hAnsi="Calibri" w:cs="Calibri"/>
          <w:color w:val="000000"/>
          <w:lang w:eastAsia="pl-PL"/>
        </w:rPr>
        <w:t xml:space="preserve">cji warunków przetargu oraz wyjaśniamy </w:t>
      </w:r>
      <w:r w:rsidR="0040197D">
        <w:rPr>
          <w:rFonts w:ascii="Calibri" w:hAnsi="Calibri" w:cs="Calibri"/>
          <w:color w:val="000000"/>
          <w:lang w:eastAsia="pl-PL"/>
        </w:rPr>
        <w:t>zapisy specyfikacji:</w:t>
      </w:r>
    </w:p>
    <w:p w:rsidR="007141BE" w:rsidRDefault="007141BE" w:rsidP="007141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7141BE" w:rsidRDefault="007141BE" w:rsidP="007141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eastAsia="pl-PL"/>
        </w:rPr>
      </w:pPr>
      <w:r>
        <w:rPr>
          <w:rFonts w:ascii="Calibri" w:hAnsi="Calibri" w:cs="Calibri"/>
          <w:color w:val="000000"/>
          <w:lang w:eastAsia="pl-PL"/>
        </w:rPr>
        <w:t xml:space="preserve">PYTANIA OFERENTÓW  I ODPOWIEDZI ZAMAWIAJĄCEGO </w:t>
      </w:r>
    </w:p>
    <w:p w:rsidR="00933D55" w:rsidRDefault="00933D55" w:rsidP="006155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615592" w:rsidRPr="008D0971" w:rsidRDefault="00615592" w:rsidP="008D097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eastAsia="pl-PL"/>
        </w:rPr>
      </w:pPr>
      <w:r w:rsidRPr="008D0971">
        <w:rPr>
          <w:rFonts w:ascii="Calibri" w:hAnsi="Calibri" w:cs="Calibri"/>
          <w:color w:val="000000"/>
          <w:lang w:eastAsia="pl-PL"/>
        </w:rPr>
        <w:t>Dotyczy dokumentu „Ogłoszenie przetargu", rozdział XI, pkt nr 1 - Termin składania ofert, str. 17</w:t>
      </w:r>
    </w:p>
    <w:p w:rsidR="00615592" w:rsidRPr="008D0971" w:rsidRDefault="00615592" w:rsidP="008D097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/>
          <w:lang w:eastAsia="pl-PL"/>
        </w:rPr>
      </w:pPr>
      <w:r w:rsidRPr="008D0971">
        <w:rPr>
          <w:rFonts w:ascii="Calibri" w:hAnsi="Calibri" w:cs="Calibri"/>
          <w:color w:val="000000"/>
          <w:lang w:eastAsia="pl-PL"/>
        </w:rPr>
        <w:t>W związku ze skomplikowanym zakresem Państwa oferty, zwłaszcza w punktach dotyczących montażu dodatkowych urządzeń, niezbędne jest przeprowadzenie dodatkowych konsultacji na obiekcie z przedstawicielami firmy montażowej w celu optymalnej wyceny zakresu prac, a także opracowanie dokumentacji umożliwiającej przeprowadzenie niezbędnych przeróbek podczas pracy istniejącej części instalacji.</w:t>
      </w:r>
      <w:r w:rsidR="008D0971">
        <w:rPr>
          <w:rFonts w:ascii="Calibri" w:hAnsi="Calibri" w:cs="Calibri"/>
          <w:color w:val="000000"/>
          <w:lang w:eastAsia="pl-PL"/>
        </w:rPr>
        <w:t xml:space="preserve"> </w:t>
      </w:r>
      <w:r w:rsidRPr="00615592">
        <w:rPr>
          <w:rFonts w:ascii="Calibri" w:hAnsi="Calibri" w:cs="Calibri"/>
          <w:i/>
          <w:iCs/>
          <w:color w:val="000000"/>
          <w:sz w:val="20"/>
          <w:szCs w:val="20"/>
          <w:u w:val="single"/>
          <w:lang w:eastAsia="pl-PL"/>
        </w:rPr>
        <w:t>Biorąc pod uwagę powyższe argumenty bardzo p</w:t>
      </w:r>
      <w:r w:rsidR="00F22D57">
        <w:rPr>
          <w:rFonts w:ascii="Calibri" w:hAnsi="Calibri" w:cs="Calibri"/>
          <w:i/>
          <w:iCs/>
          <w:color w:val="000000"/>
          <w:sz w:val="20"/>
          <w:szCs w:val="20"/>
          <w:u w:val="single"/>
          <w:lang w:eastAsia="pl-PL"/>
        </w:rPr>
        <w:t>rosimy o przesunięcie terminu zł</w:t>
      </w:r>
      <w:r w:rsidRPr="00615592">
        <w:rPr>
          <w:rFonts w:ascii="Calibri" w:hAnsi="Calibri" w:cs="Calibri"/>
          <w:i/>
          <w:iCs/>
          <w:color w:val="000000"/>
          <w:sz w:val="20"/>
          <w:szCs w:val="20"/>
          <w:u w:val="single"/>
          <w:lang w:eastAsia="pl-PL"/>
        </w:rPr>
        <w:t>ożenia oferty na 28.02.2020r.</w:t>
      </w:r>
    </w:p>
    <w:p w:rsidR="008D0971" w:rsidRDefault="008D0971" w:rsidP="006155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2F5496" w:themeColor="accent5" w:themeShade="BF"/>
          <w:sz w:val="20"/>
          <w:szCs w:val="20"/>
          <w:u w:val="single"/>
          <w:lang w:eastAsia="pl-PL"/>
        </w:rPr>
      </w:pPr>
    </w:p>
    <w:p w:rsidR="00933D55" w:rsidRDefault="00933D55" w:rsidP="006155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2F5496" w:themeColor="accent5" w:themeShade="BF"/>
          <w:sz w:val="20"/>
          <w:szCs w:val="20"/>
          <w:u w:val="single"/>
          <w:lang w:eastAsia="pl-PL"/>
        </w:rPr>
      </w:pPr>
      <w:r w:rsidRPr="00732071">
        <w:rPr>
          <w:rFonts w:ascii="Calibri" w:hAnsi="Calibri" w:cs="Calibri"/>
          <w:i/>
          <w:iCs/>
          <w:color w:val="000000"/>
          <w:sz w:val="20"/>
          <w:szCs w:val="20"/>
          <w:u w:val="single"/>
          <w:lang w:eastAsia="pl-PL"/>
        </w:rPr>
        <w:t>Odp.</w:t>
      </w:r>
      <w:r w:rsidR="00882659">
        <w:rPr>
          <w:rFonts w:ascii="Calibri" w:hAnsi="Calibri" w:cs="Calibri"/>
          <w:i/>
          <w:iCs/>
          <w:color w:val="2F5496" w:themeColor="accent5" w:themeShade="BF"/>
          <w:sz w:val="20"/>
          <w:szCs w:val="20"/>
          <w:u w:val="single"/>
          <w:lang w:eastAsia="pl-PL"/>
        </w:rPr>
        <w:t xml:space="preserve"> </w:t>
      </w:r>
      <w:r w:rsidR="00882659" w:rsidRPr="00732071">
        <w:rPr>
          <w:rFonts w:ascii="Calibri" w:hAnsi="Calibri" w:cs="Calibri"/>
          <w:b/>
          <w:i/>
          <w:iCs/>
          <w:color w:val="2F5496" w:themeColor="accent5" w:themeShade="BF"/>
          <w:sz w:val="20"/>
          <w:szCs w:val="20"/>
          <w:lang w:eastAsia="pl-PL"/>
        </w:rPr>
        <w:t>AD.1</w:t>
      </w:r>
    </w:p>
    <w:p w:rsidR="00933D55" w:rsidRDefault="00F22D57" w:rsidP="006155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iCs/>
          <w:color w:val="2F5496" w:themeColor="accent5" w:themeShade="BF"/>
          <w:u w:val="single"/>
          <w:lang w:eastAsia="pl-PL"/>
        </w:rPr>
      </w:pPr>
      <w:r w:rsidRPr="00F22D57">
        <w:rPr>
          <w:rFonts w:ascii="Calibri" w:hAnsi="Calibri" w:cs="Calibri"/>
          <w:b/>
          <w:i/>
          <w:iCs/>
          <w:color w:val="2F5496" w:themeColor="accent5" w:themeShade="BF"/>
          <w:u w:val="single"/>
          <w:lang w:eastAsia="pl-PL"/>
        </w:rPr>
        <w:t>Zamawiający wyraża zgodę na przesunięcie terminu składania ofert do dnia 28 lutego  2020 r.</w:t>
      </w:r>
      <w:r>
        <w:rPr>
          <w:rFonts w:ascii="Calibri" w:hAnsi="Calibri" w:cs="Calibri"/>
          <w:b/>
          <w:i/>
          <w:iCs/>
          <w:color w:val="2F5496" w:themeColor="accent5" w:themeShade="BF"/>
          <w:u w:val="single"/>
          <w:lang w:eastAsia="pl-PL"/>
        </w:rPr>
        <w:t xml:space="preserve"> do godz. 1</w:t>
      </w:r>
      <w:r w:rsidR="001E418F">
        <w:rPr>
          <w:rFonts w:ascii="Calibri" w:hAnsi="Calibri" w:cs="Calibri"/>
          <w:b/>
          <w:i/>
          <w:iCs/>
          <w:color w:val="2F5496" w:themeColor="accent5" w:themeShade="BF"/>
          <w:u w:val="single"/>
          <w:lang w:eastAsia="pl-PL"/>
        </w:rPr>
        <w:t>2</w:t>
      </w:r>
      <w:r>
        <w:rPr>
          <w:rFonts w:ascii="Calibri" w:hAnsi="Calibri" w:cs="Calibri"/>
          <w:b/>
          <w:i/>
          <w:iCs/>
          <w:color w:val="2F5496" w:themeColor="accent5" w:themeShade="BF"/>
          <w:u w:val="single"/>
          <w:lang w:eastAsia="pl-PL"/>
        </w:rPr>
        <w:t xml:space="preserve">.00. </w:t>
      </w:r>
    </w:p>
    <w:p w:rsidR="00F22D57" w:rsidRDefault="00F22D57" w:rsidP="00F22D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iCs/>
          <w:color w:val="2F5496" w:themeColor="accent5" w:themeShade="BF"/>
          <w:u w:val="single"/>
          <w:lang w:eastAsia="pl-PL"/>
        </w:rPr>
      </w:pPr>
      <w:r>
        <w:rPr>
          <w:rFonts w:ascii="Calibri" w:hAnsi="Calibri" w:cs="Calibri"/>
          <w:b/>
          <w:i/>
          <w:iCs/>
          <w:color w:val="2F5496" w:themeColor="accent5" w:themeShade="BF"/>
          <w:u w:val="single"/>
          <w:lang w:eastAsia="pl-PL"/>
        </w:rPr>
        <w:t xml:space="preserve">Wewnętrzny termin otwarcia ofert </w:t>
      </w:r>
      <w:r w:rsidRPr="00F22D57">
        <w:rPr>
          <w:rFonts w:ascii="Calibri" w:hAnsi="Calibri" w:cs="Calibri"/>
          <w:b/>
          <w:i/>
          <w:iCs/>
          <w:color w:val="2F5496" w:themeColor="accent5" w:themeShade="BF"/>
          <w:u w:val="single"/>
          <w:lang w:eastAsia="pl-PL"/>
        </w:rPr>
        <w:t>28 lutego  2020 r.</w:t>
      </w:r>
      <w:r>
        <w:rPr>
          <w:rFonts w:ascii="Calibri" w:hAnsi="Calibri" w:cs="Calibri"/>
          <w:b/>
          <w:i/>
          <w:iCs/>
          <w:color w:val="2F5496" w:themeColor="accent5" w:themeShade="BF"/>
          <w:u w:val="single"/>
          <w:lang w:eastAsia="pl-PL"/>
        </w:rPr>
        <w:t xml:space="preserve"> do godz. 1</w:t>
      </w:r>
      <w:r w:rsidR="001E418F">
        <w:rPr>
          <w:rFonts w:ascii="Calibri" w:hAnsi="Calibri" w:cs="Calibri"/>
          <w:b/>
          <w:i/>
          <w:iCs/>
          <w:color w:val="2F5496" w:themeColor="accent5" w:themeShade="BF"/>
          <w:u w:val="single"/>
          <w:lang w:eastAsia="pl-PL"/>
        </w:rPr>
        <w:t>2</w:t>
      </w:r>
      <w:r>
        <w:rPr>
          <w:rFonts w:ascii="Calibri" w:hAnsi="Calibri" w:cs="Calibri"/>
          <w:b/>
          <w:i/>
          <w:iCs/>
          <w:color w:val="2F5496" w:themeColor="accent5" w:themeShade="BF"/>
          <w:u w:val="single"/>
          <w:lang w:eastAsia="pl-PL"/>
        </w:rPr>
        <w:t xml:space="preserve">.30. </w:t>
      </w:r>
    </w:p>
    <w:p w:rsidR="00F22D57" w:rsidRDefault="00F22D57" w:rsidP="006155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iCs/>
          <w:color w:val="2F5496" w:themeColor="accent5" w:themeShade="BF"/>
          <w:u w:val="single"/>
          <w:lang w:eastAsia="pl-PL"/>
        </w:rPr>
      </w:pPr>
    </w:p>
    <w:p w:rsidR="00F22D57" w:rsidRDefault="00F22D57" w:rsidP="006155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iCs/>
          <w:color w:val="2F5496" w:themeColor="accent5" w:themeShade="BF"/>
          <w:u w:val="single"/>
          <w:lang w:eastAsia="pl-PL"/>
        </w:rPr>
      </w:pPr>
      <w:r>
        <w:rPr>
          <w:rFonts w:ascii="Calibri" w:hAnsi="Calibri" w:cs="Calibri"/>
          <w:b/>
          <w:i/>
          <w:iCs/>
          <w:color w:val="2F5496" w:themeColor="accent5" w:themeShade="BF"/>
          <w:u w:val="single"/>
          <w:lang w:eastAsia="pl-PL"/>
        </w:rPr>
        <w:t xml:space="preserve">Na kopercie należy umieścić opis” nie otwierać przed datą </w:t>
      </w:r>
      <w:r w:rsidRPr="00F22D57">
        <w:rPr>
          <w:rFonts w:ascii="Calibri" w:hAnsi="Calibri" w:cs="Calibri"/>
          <w:b/>
          <w:i/>
          <w:iCs/>
          <w:color w:val="2F5496" w:themeColor="accent5" w:themeShade="BF"/>
          <w:u w:val="single"/>
          <w:lang w:eastAsia="pl-PL"/>
        </w:rPr>
        <w:t>28 lutego  2020 r.</w:t>
      </w:r>
      <w:r>
        <w:rPr>
          <w:rFonts w:ascii="Calibri" w:hAnsi="Calibri" w:cs="Calibri"/>
          <w:b/>
          <w:i/>
          <w:iCs/>
          <w:color w:val="2F5496" w:themeColor="accent5" w:themeShade="BF"/>
          <w:u w:val="single"/>
          <w:lang w:eastAsia="pl-PL"/>
        </w:rPr>
        <w:t xml:space="preserve">  godz. 1</w:t>
      </w:r>
      <w:r w:rsidR="001E418F">
        <w:rPr>
          <w:rFonts w:ascii="Calibri" w:hAnsi="Calibri" w:cs="Calibri"/>
          <w:b/>
          <w:i/>
          <w:iCs/>
          <w:color w:val="2F5496" w:themeColor="accent5" w:themeShade="BF"/>
          <w:u w:val="single"/>
          <w:lang w:eastAsia="pl-PL"/>
        </w:rPr>
        <w:t>2</w:t>
      </w:r>
      <w:r>
        <w:rPr>
          <w:rFonts w:ascii="Calibri" w:hAnsi="Calibri" w:cs="Calibri"/>
          <w:b/>
          <w:i/>
          <w:iCs/>
          <w:color w:val="2F5496" w:themeColor="accent5" w:themeShade="BF"/>
          <w:u w:val="single"/>
          <w:lang w:eastAsia="pl-PL"/>
        </w:rPr>
        <w:t>.30.</w:t>
      </w:r>
    </w:p>
    <w:p w:rsidR="00F22D57" w:rsidRPr="00F22D57" w:rsidRDefault="00F22D57" w:rsidP="006155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iCs/>
          <w:color w:val="2F5496" w:themeColor="accent5" w:themeShade="BF"/>
          <w:u w:val="single"/>
          <w:lang w:eastAsia="pl-PL"/>
        </w:rPr>
      </w:pPr>
    </w:p>
    <w:p w:rsidR="00615592" w:rsidRPr="00615592" w:rsidRDefault="00615592" w:rsidP="008D097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eastAsia="pl-PL"/>
        </w:rPr>
      </w:pPr>
      <w:r w:rsidRPr="008D0971">
        <w:rPr>
          <w:rFonts w:ascii="Calibri" w:hAnsi="Calibri" w:cs="Calibri"/>
          <w:color w:val="000000"/>
          <w:lang w:eastAsia="pl-PL"/>
        </w:rPr>
        <w:t xml:space="preserve"> </w:t>
      </w:r>
      <w:r w:rsidRPr="00615592">
        <w:rPr>
          <w:rFonts w:ascii="Calibri" w:hAnsi="Calibri" w:cs="Calibri"/>
          <w:color w:val="000000"/>
          <w:lang w:eastAsia="pl-PL"/>
        </w:rPr>
        <w:t>Dotyczy dokumentu: „Załącznik nr 4 do Ogłoszenia przetargu", rozdział 8, pkt 8.1.1-Gwarancje:</w:t>
      </w:r>
    </w:p>
    <w:p w:rsidR="00615592" w:rsidRPr="00615592" w:rsidRDefault="00615592" w:rsidP="008D097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/>
          <w:lang w:eastAsia="pl-PL"/>
        </w:rPr>
      </w:pPr>
      <w:r w:rsidRPr="00615592">
        <w:rPr>
          <w:rFonts w:ascii="Calibri" w:hAnsi="Calibri" w:cs="Calibri"/>
          <w:color w:val="000000"/>
          <w:lang w:eastAsia="pl-PL"/>
        </w:rPr>
        <w:t>„Wykonawca udziela gwarancji na wykonanie Usługi na okres 36 miesięcy licząc do daty odbioru końcowego..."</w:t>
      </w:r>
    </w:p>
    <w:p w:rsidR="00615592" w:rsidRPr="00615592" w:rsidRDefault="00615592" w:rsidP="008D097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/>
          <w:lang w:eastAsia="pl-PL"/>
        </w:rPr>
      </w:pPr>
      <w:r w:rsidRPr="00615592">
        <w:rPr>
          <w:rFonts w:ascii="Calibri" w:hAnsi="Calibri" w:cs="Calibri"/>
          <w:color w:val="000000"/>
          <w:lang w:eastAsia="pl-PL"/>
        </w:rPr>
        <w:t>oraz dokumentu „OWZU", rozdział8, pkt 8.1-Gwarancja i rękojmia: „Wykonawca udziela gwarancji na wykonane Usługi na okres 36 miesięcy dla robót budowlanych oraz 12 miesięcy dla pozostałych Usług licząc od daty odbioru końcowego..."</w:t>
      </w:r>
    </w:p>
    <w:p w:rsidR="005910FA" w:rsidRPr="008D0971" w:rsidRDefault="00615592" w:rsidP="008D097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/>
          <w:lang w:eastAsia="pl-PL"/>
        </w:rPr>
      </w:pPr>
      <w:r w:rsidRPr="008D0971">
        <w:rPr>
          <w:rFonts w:ascii="Calibri" w:hAnsi="Calibri" w:cs="Calibri"/>
          <w:color w:val="000000"/>
          <w:lang w:eastAsia="pl-PL"/>
        </w:rPr>
        <w:t>W związku z powyższym prosimy o potwierdzenie, że okres 36 miesięcy gwarancji dotyczy tylko robót budowlanych natomiast okres 12 miesięcy dotyczy gwarancji na urządzenia oraz pozostałe Usługi.</w:t>
      </w:r>
    </w:p>
    <w:p w:rsidR="008D0971" w:rsidRDefault="008D0971" w:rsidP="00933D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2F5496" w:themeColor="accent5" w:themeShade="BF"/>
          <w:sz w:val="20"/>
          <w:szCs w:val="20"/>
          <w:u w:val="single"/>
          <w:lang w:eastAsia="pl-PL"/>
        </w:rPr>
      </w:pPr>
    </w:p>
    <w:p w:rsidR="00933D55" w:rsidRDefault="00933D55" w:rsidP="00933D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2F5496" w:themeColor="accent5" w:themeShade="BF"/>
          <w:sz w:val="20"/>
          <w:szCs w:val="20"/>
          <w:u w:val="single"/>
          <w:lang w:eastAsia="pl-PL"/>
        </w:rPr>
      </w:pPr>
      <w:r w:rsidRPr="00732071">
        <w:rPr>
          <w:rFonts w:ascii="Calibri" w:hAnsi="Calibri" w:cs="Calibri"/>
          <w:i/>
          <w:iCs/>
          <w:color w:val="000000"/>
          <w:sz w:val="20"/>
          <w:szCs w:val="20"/>
          <w:u w:val="single"/>
          <w:lang w:eastAsia="pl-PL"/>
        </w:rPr>
        <w:t>Odp.</w:t>
      </w:r>
      <w:r w:rsidR="00882659" w:rsidRPr="00732071">
        <w:rPr>
          <w:rFonts w:ascii="Calibri" w:hAnsi="Calibri" w:cs="Calibri"/>
          <w:b/>
          <w:i/>
          <w:iCs/>
          <w:color w:val="2F5496" w:themeColor="accent5" w:themeShade="BF"/>
          <w:sz w:val="20"/>
          <w:szCs w:val="20"/>
          <w:lang w:eastAsia="pl-PL"/>
        </w:rPr>
        <w:t>AD.2</w:t>
      </w:r>
    </w:p>
    <w:p w:rsidR="007B253C" w:rsidRPr="007B253C" w:rsidRDefault="007B253C" w:rsidP="007B25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iCs/>
          <w:color w:val="2F5496" w:themeColor="accent5" w:themeShade="BF"/>
          <w:u w:val="single"/>
          <w:lang w:eastAsia="pl-PL"/>
        </w:rPr>
      </w:pPr>
      <w:r w:rsidRPr="007B253C">
        <w:rPr>
          <w:rFonts w:ascii="Calibri" w:hAnsi="Calibri" w:cs="Calibri"/>
          <w:b/>
          <w:i/>
          <w:iCs/>
          <w:color w:val="2F5496" w:themeColor="accent5" w:themeShade="BF"/>
          <w:u w:val="single"/>
          <w:lang w:eastAsia="pl-PL"/>
        </w:rPr>
        <w:t>Okres Gwarancji  zapisany w Załącznik nr 4 do Ogłoszenia przetargu", rozdział 8, pkt 8.1.1-Gwarancje:</w:t>
      </w:r>
    </w:p>
    <w:p w:rsidR="007B253C" w:rsidRDefault="007B253C" w:rsidP="007B25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iCs/>
          <w:color w:val="2F5496" w:themeColor="accent5" w:themeShade="BF"/>
          <w:u w:val="single"/>
          <w:lang w:eastAsia="pl-PL"/>
        </w:rPr>
      </w:pPr>
      <w:r w:rsidRPr="007B253C">
        <w:rPr>
          <w:rFonts w:ascii="Calibri" w:hAnsi="Calibri" w:cs="Calibri"/>
          <w:b/>
          <w:i/>
          <w:iCs/>
          <w:color w:val="2F5496" w:themeColor="accent5" w:themeShade="BF"/>
          <w:u w:val="single"/>
          <w:lang w:eastAsia="pl-PL"/>
        </w:rPr>
        <w:t>wynosi 36 m-</w:t>
      </w:r>
      <w:proofErr w:type="spellStart"/>
      <w:r w:rsidRPr="007B253C">
        <w:rPr>
          <w:rFonts w:ascii="Calibri" w:hAnsi="Calibri" w:cs="Calibri"/>
          <w:b/>
          <w:i/>
          <w:iCs/>
          <w:color w:val="2F5496" w:themeColor="accent5" w:themeShade="BF"/>
          <w:u w:val="single"/>
          <w:lang w:eastAsia="pl-PL"/>
        </w:rPr>
        <w:t>cy</w:t>
      </w:r>
      <w:proofErr w:type="spellEnd"/>
      <w:r w:rsidRPr="007B253C">
        <w:rPr>
          <w:rFonts w:ascii="Calibri" w:hAnsi="Calibri" w:cs="Calibri"/>
          <w:b/>
          <w:i/>
          <w:iCs/>
          <w:color w:val="2F5496" w:themeColor="accent5" w:themeShade="BF"/>
          <w:u w:val="single"/>
          <w:lang w:eastAsia="pl-PL"/>
        </w:rPr>
        <w:t xml:space="preserve"> dla całej instalacji. Zapisy OWZU są wiążące w przypadku nie określania takich zapisów w projekcie umowy.</w:t>
      </w:r>
    </w:p>
    <w:p w:rsidR="007B253C" w:rsidRPr="007B253C" w:rsidRDefault="007B253C" w:rsidP="007B25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iCs/>
          <w:color w:val="2F5496" w:themeColor="accent5" w:themeShade="BF"/>
          <w:u w:val="single"/>
          <w:lang w:eastAsia="pl-PL"/>
        </w:rPr>
      </w:pPr>
    </w:p>
    <w:p w:rsidR="00615592" w:rsidRPr="007B253C" w:rsidRDefault="00615592" w:rsidP="008D097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eastAsia="pl-PL"/>
        </w:rPr>
      </w:pPr>
      <w:r w:rsidRPr="007B253C">
        <w:rPr>
          <w:rFonts w:ascii="Calibri" w:hAnsi="Calibri" w:cs="Calibri"/>
          <w:color w:val="000000"/>
          <w:lang w:eastAsia="pl-PL"/>
        </w:rPr>
        <w:t>Dotyczy dokumentu: „Ogłoszenie przetargu", rozdział 6, pkt 6.9: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1896"/>
        <w:gridCol w:w="4901"/>
      </w:tblGrid>
      <w:tr w:rsidR="00615592" w:rsidRPr="00615592" w:rsidTr="00814F2C">
        <w:trPr>
          <w:trHeight w:val="691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592" w:rsidRPr="00615592" w:rsidRDefault="00615592" w:rsidP="0061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1559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6.11.1.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592" w:rsidRPr="00615592" w:rsidRDefault="00615592" w:rsidP="0061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61559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 xml:space="preserve">Nie osiągnięcia wydajności hydraulicznej zgodnie z pkt 6.4.1 SIWZ II 80 </w:t>
            </w:r>
            <w:r w:rsidRPr="00615592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[m7h]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592" w:rsidRPr="00615592" w:rsidRDefault="00615592" w:rsidP="0061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1559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 xml:space="preserve">Obniżenie wynagrodzenia, o którym mowa w pkt 6.1. Umowy, o 1,25 % za każdy za każdy </w:t>
            </w:r>
            <w:proofErr w:type="spellStart"/>
            <w:r w:rsidRPr="0061559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petny</w:t>
            </w:r>
            <w:proofErr w:type="spellEnd"/>
            <w:r w:rsidRPr="0061559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 xml:space="preserve"> 1 m</w:t>
            </w:r>
            <w:r w:rsidRPr="0061559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3</w:t>
            </w:r>
            <w:r w:rsidRPr="0061559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/h mniejszej wydajności hydraulicznej poniżej wartości gwarantowanej 80 [</w:t>
            </w:r>
            <w:proofErr w:type="spellStart"/>
            <w:r w:rsidRPr="0061559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m</w:t>
            </w:r>
            <w:r w:rsidRPr="0061559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ł</w:t>
            </w:r>
            <w:proofErr w:type="spellEnd"/>
            <w:r w:rsidRPr="0061559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/h] Wydajność hydrauliczna nie może być niższa niż 70 [m</w:t>
            </w:r>
            <w:r w:rsidRPr="0061559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3</w:t>
            </w:r>
            <w:r w:rsidRPr="0061559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/h].</w:t>
            </w:r>
          </w:p>
        </w:tc>
      </w:tr>
      <w:tr w:rsidR="00615592" w:rsidRPr="00615592" w:rsidTr="00814F2C">
        <w:trPr>
          <w:trHeight w:val="56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592" w:rsidRPr="00615592" w:rsidRDefault="00615592" w:rsidP="0061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1559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6.11.2.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592" w:rsidRPr="00615592" w:rsidRDefault="00615592" w:rsidP="0061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1559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Nie osiągnięcia maksymalnego stężenia zawiesiny ogólnej do 25,0 [mg/dm</w:t>
            </w:r>
            <w:r w:rsidRPr="0061559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3</w:t>
            </w:r>
            <w:r w:rsidRPr="0061559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]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592" w:rsidRPr="00615592" w:rsidRDefault="00615592" w:rsidP="0061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1559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Obniżenie wynagrodzenia, o którym mowa w pkt 6.1. Umowy, o 3 % za każdy 1 mg/dm</w:t>
            </w:r>
            <w:r w:rsidRPr="0061559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3</w:t>
            </w:r>
            <w:r w:rsidRPr="0061559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 xml:space="preserve"> większego stężenia powyżej wartości gwarantowanej. Stężenie zawiesiny ogólnej nie może przekroczyć 30,0 {mg/dm</w:t>
            </w:r>
            <w:r w:rsidRPr="0061559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3</w:t>
            </w:r>
            <w:r w:rsidRPr="0061559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].</w:t>
            </w:r>
          </w:p>
        </w:tc>
      </w:tr>
    </w:tbl>
    <w:p w:rsidR="00615592" w:rsidRPr="00615592" w:rsidRDefault="00615592" w:rsidP="006155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615592">
        <w:rPr>
          <w:rFonts w:ascii="Calibri" w:hAnsi="Calibri" w:cs="Calibri"/>
          <w:color w:val="000000"/>
          <w:lang w:eastAsia="pl-PL"/>
        </w:rPr>
        <w:t>oraz rozdziału 11, pkt 11.7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1373"/>
        <w:gridCol w:w="1286"/>
        <w:gridCol w:w="3739"/>
      </w:tblGrid>
      <w:tr w:rsidR="00615592" w:rsidRPr="00615592">
        <w:trPr>
          <w:trHeight w:val="39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592" w:rsidRPr="00615592" w:rsidRDefault="00615592" w:rsidP="0061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592" w:rsidRPr="00615592" w:rsidRDefault="00615592" w:rsidP="0061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1559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Gwarantowane Parametry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592" w:rsidRPr="00615592" w:rsidRDefault="00615592" w:rsidP="0061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1559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Wartość gwarantowana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592" w:rsidRPr="00615592" w:rsidRDefault="00615592" w:rsidP="0061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1559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Wysokość kar umownych za niedotrzymania Parametrów Gwarantowanych w okresie gwarancji</w:t>
            </w:r>
          </w:p>
        </w:tc>
      </w:tr>
      <w:tr w:rsidR="00615592" w:rsidRPr="00615592">
        <w:trPr>
          <w:trHeight w:val="187"/>
        </w:trPr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5592" w:rsidRPr="00615592" w:rsidRDefault="00615592" w:rsidP="0061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1559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</w:t>
            </w:r>
          </w:p>
          <w:p w:rsidR="00615592" w:rsidRPr="00615592" w:rsidRDefault="00615592" w:rsidP="0061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1559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11.7.1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592" w:rsidRPr="00615592" w:rsidRDefault="00615592" w:rsidP="0061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1559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592" w:rsidRPr="00615592" w:rsidRDefault="00615592" w:rsidP="0061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1559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592" w:rsidRPr="00615592" w:rsidRDefault="00615592" w:rsidP="0061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1559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4</w:t>
            </w:r>
          </w:p>
        </w:tc>
      </w:tr>
      <w:tr w:rsidR="00615592" w:rsidRPr="00615592" w:rsidTr="00814F2C">
        <w:trPr>
          <w:trHeight w:val="633"/>
        </w:trPr>
        <w:tc>
          <w:tcPr>
            <w:tcW w:w="5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592" w:rsidRPr="00615592" w:rsidRDefault="00615592" w:rsidP="0061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  <w:p w:rsidR="00615592" w:rsidRPr="00615592" w:rsidRDefault="00615592" w:rsidP="0061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592" w:rsidRPr="00615592" w:rsidRDefault="00615592" w:rsidP="0061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1559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Wydajność hydrauliczna zgodnie z pkt 6.4.1 SIWZ II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592" w:rsidRPr="00615592" w:rsidRDefault="00615592" w:rsidP="0061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1559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 xml:space="preserve">80 </w:t>
            </w:r>
            <w:r w:rsidRPr="00615592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[</w:t>
            </w:r>
            <w:proofErr w:type="spellStart"/>
            <w:r w:rsidRPr="00615592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mVh</w:t>
            </w:r>
            <w:proofErr w:type="spellEnd"/>
            <w:r w:rsidRPr="00615592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] </w:t>
            </w:r>
            <w:r w:rsidRPr="0061559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lub wartość ustalona zgodnie z pkt. 6.11.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592" w:rsidRPr="00615592" w:rsidRDefault="00F22D57" w:rsidP="0061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Za każdy peł</w:t>
            </w:r>
            <w:r w:rsidR="00615592" w:rsidRPr="0061559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 xml:space="preserve">ny 1 </w:t>
            </w:r>
            <w:proofErr w:type="spellStart"/>
            <w:r w:rsidR="00615592" w:rsidRPr="0061559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m</w:t>
            </w:r>
            <w:r w:rsidR="00615592" w:rsidRPr="0061559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J</w:t>
            </w:r>
            <w:proofErr w:type="spellEnd"/>
            <w:r w:rsidR="00615592" w:rsidRPr="0061559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 xml:space="preserve">/h mniejszej wydajności hydraulicznej poniżej wartości gwarantowanej kara umowna wynosić będzie 0,1 </w:t>
            </w:r>
            <w:r w:rsidR="00615592" w:rsidRPr="00615592">
              <w:rPr>
                <w:rFonts w:ascii="Trebuchet MS" w:hAnsi="Trebuchet MS" w:cs="Trebuchet MS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 xml:space="preserve">% </w:t>
            </w:r>
            <w:r w:rsidR="00615592" w:rsidRPr="0061559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Wynagrodzenia umownego określonego w pkt 6.1,</w:t>
            </w:r>
          </w:p>
        </w:tc>
      </w:tr>
      <w:tr w:rsidR="00615592" w:rsidRPr="00615592" w:rsidTr="007141BE">
        <w:trPr>
          <w:trHeight w:val="8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592" w:rsidRPr="00615592" w:rsidRDefault="00615592" w:rsidP="0061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1559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11.7,2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592" w:rsidRPr="00615592" w:rsidRDefault="00615592" w:rsidP="0061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592" w:rsidRPr="00615592" w:rsidRDefault="00615592" w:rsidP="0061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1559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Zawiesina ogólna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592" w:rsidRPr="00615592" w:rsidRDefault="00615592" w:rsidP="0061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1559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 xml:space="preserve">25,0 </w:t>
            </w:r>
            <w:r w:rsidRPr="00615592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[mg/dm</w:t>
            </w:r>
            <w:r w:rsidRPr="00615592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t>3</w:t>
            </w:r>
            <w:r w:rsidRPr="00615592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] </w:t>
            </w:r>
            <w:r w:rsidRPr="0061559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lub wartość ustalona zgodnie z pkt. 6.11.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592" w:rsidRPr="00615592" w:rsidRDefault="00615592" w:rsidP="0061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1559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 xml:space="preserve">Za każdy 1 </w:t>
            </w:r>
            <w:r w:rsidRPr="00615592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mg/dm</w:t>
            </w:r>
            <w:r w:rsidRPr="00615592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t>3</w:t>
            </w:r>
            <w:r w:rsidRPr="00615592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1559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 xml:space="preserve">większego stężenia powyżej wartości gwarantowanej kara umowna wynosić będzie 0,1 </w:t>
            </w:r>
            <w:r w:rsidRPr="00615592">
              <w:rPr>
                <w:rFonts w:ascii="Trebuchet MS" w:hAnsi="Trebuchet MS" w:cs="Trebuchet MS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 xml:space="preserve">% </w:t>
            </w:r>
            <w:r w:rsidRPr="0061559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Wynagrodzenia umownego określonego w pkt 6.1,</w:t>
            </w:r>
          </w:p>
        </w:tc>
      </w:tr>
    </w:tbl>
    <w:p w:rsidR="00615592" w:rsidRDefault="00615592" w:rsidP="006155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0"/>
          <w:szCs w:val="20"/>
          <w:u w:val="single"/>
          <w:lang w:eastAsia="pl-PL"/>
        </w:rPr>
      </w:pPr>
      <w:r w:rsidRPr="00615592">
        <w:rPr>
          <w:rFonts w:ascii="Calibri" w:hAnsi="Calibri" w:cs="Calibri"/>
          <w:i/>
          <w:iCs/>
          <w:color w:val="000000"/>
          <w:sz w:val="20"/>
          <w:szCs w:val="20"/>
          <w:u w:val="single"/>
          <w:lang w:eastAsia="pl-PL"/>
        </w:rPr>
        <w:t>W powyżej przytoczonych punktach są różne wartości karzą niespełnienie tego samego parametru (wydajność i zawiesina ogólna). Prosimy o potwierdzenie, że wartości właściwe dotyczą pkt 11.7.</w:t>
      </w:r>
    </w:p>
    <w:p w:rsidR="00F22D57" w:rsidRDefault="00F22D57" w:rsidP="006155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0"/>
          <w:szCs w:val="20"/>
          <w:u w:val="single"/>
          <w:lang w:eastAsia="pl-PL"/>
        </w:rPr>
      </w:pPr>
    </w:p>
    <w:p w:rsidR="00933D55" w:rsidRPr="00F22D57" w:rsidRDefault="00933D55" w:rsidP="00933D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iCs/>
          <w:color w:val="2F5496" w:themeColor="accent5" w:themeShade="BF"/>
          <w:sz w:val="20"/>
          <w:szCs w:val="20"/>
          <w:u w:val="single"/>
          <w:lang w:eastAsia="pl-PL"/>
        </w:rPr>
      </w:pPr>
      <w:r w:rsidRPr="00732071">
        <w:rPr>
          <w:rFonts w:ascii="Calibri" w:hAnsi="Calibri" w:cs="Calibri"/>
          <w:i/>
          <w:iCs/>
          <w:color w:val="000000"/>
          <w:sz w:val="20"/>
          <w:szCs w:val="20"/>
          <w:u w:val="single"/>
          <w:lang w:eastAsia="pl-PL"/>
        </w:rPr>
        <w:lastRenderedPageBreak/>
        <w:t>Odp.</w:t>
      </w:r>
      <w:r w:rsidR="00882659" w:rsidRPr="00732071">
        <w:rPr>
          <w:rFonts w:ascii="Calibri" w:hAnsi="Calibri" w:cs="Calibri"/>
          <w:b/>
          <w:i/>
          <w:iCs/>
          <w:color w:val="2F5496" w:themeColor="accent5" w:themeShade="BF"/>
          <w:sz w:val="20"/>
          <w:szCs w:val="20"/>
          <w:lang w:eastAsia="pl-PL"/>
        </w:rPr>
        <w:t>AD.3</w:t>
      </w:r>
    </w:p>
    <w:p w:rsidR="00E026C1" w:rsidRPr="004373A7" w:rsidRDefault="007B253C" w:rsidP="001F4E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2F5496" w:themeColor="accent5" w:themeShade="BF"/>
          <w:lang w:eastAsia="pl-PL"/>
        </w:rPr>
      </w:pPr>
      <w:r w:rsidRPr="004373A7">
        <w:rPr>
          <w:rFonts w:ascii="Calibri" w:hAnsi="Calibri" w:cs="Calibri"/>
          <w:iCs/>
          <w:color w:val="2F5496" w:themeColor="accent5" w:themeShade="BF"/>
          <w:lang w:eastAsia="pl-PL"/>
        </w:rPr>
        <w:t xml:space="preserve">Powyższe zapisy nie powielają się oraz zasadniczo są różne : </w:t>
      </w:r>
    </w:p>
    <w:p w:rsidR="00814F2C" w:rsidRDefault="007B253C" w:rsidP="001F4E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2F5496" w:themeColor="accent5" w:themeShade="BF"/>
          <w:lang w:eastAsia="pl-PL"/>
        </w:rPr>
      </w:pPr>
      <w:r w:rsidRPr="004373A7">
        <w:rPr>
          <w:rFonts w:ascii="Calibri" w:hAnsi="Calibri" w:cs="Calibri"/>
          <w:iCs/>
          <w:color w:val="2F5496" w:themeColor="accent5" w:themeShade="BF"/>
          <w:lang w:eastAsia="pl-PL"/>
        </w:rPr>
        <w:t xml:space="preserve">w pkt.6.11.1 oraz 6.11.2 sformułowano </w:t>
      </w:r>
      <w:r w:rsidR="001F4E16" w:rsidRPr="004373A7">
        <w:rPr>
          <w:rFonts w:ascii="Calibri" w:hAnsi="Calibri" w:cs="Calibri"/>
          <w:b/>
          <w:iCs/>
          <w:color w:val="2F5496" w:themeColor="accent5" w:themeShade="BF"/>
          <w:u w:val="single"/>
          <w:lang w:eastAsia="pl-PL"/>
        </w:rPr>
        <w:t>obniżenie wynagrodzenia</w:t>
      </w:r>
      <w:r w:rsidR="001F4E16" w:rsidRPr="004373A7">
        <w:rPr>
          <w:rFonts w:ascii="Calibri" w:hAnsi="Calibri" w:cs="Calibri"/>
          <w:iCs/>
          <w:color w:val="2F5496" w:themeColor="accent5" w:themeShade="BF"/>
          <w:lang w:eastAsia="pl-PL"/>
        </w:rPr>
        <w:t xml:space="preserve"> za nie uzyskanie pełnej wydajności po testach odbiorowych,</w:t>
      </w:r>
      <w:r w:rsidR="00814F2C">
        <w:rPr>
          <w:rFonts w:ascii="Calibri" w:hAnsi="Calibri" w:cs="Calibri"/>
          <w:iCs/>
          <w:color w:val="2F5496" w:themeColor="accent5" w:themeShade="BF"/>
          <w:lang w:eastAsia="pl-PL"/>
        </w:rPr>
        <w:t xml:space="preserve"> </w:t>
      </w:r>
    </w:p>
    <w:p w:rsidR="007B253C" w:rsidRPr="004373A7" w:rsidRDefault="001F4E16" w:rsidP="001F4E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2F5496" w:themeColor="accent5" w:themeShade="BF"/>
          <w:lang w:eastAsia="pl-PL"/>
        </w:rPr>
      </w:pPr>
      <w:r w:rsidRPr="004373A7">
        <w:rPr>
          <w:rFonts w:ascii="Calibri" w:hAnsi="Calibri" w:cs="Calibri"/>
          <w:iCs/>
          <w:color w:val="2F5496" w:themeColor="accent5" w:themeShade="BF"/>
          <w:lang w:eastAsia="pl-PL"/>
        </w:rPr>
        <w:t xml:space="preserve">natomiast w </w:t>
      </w:r>
      <w:r w:rsidR="00E026C1" w:rsidRPr="004373A7">
        <w:rPr>
          <w:rFonts w:ascii="Calibri" w:hAnsi="Calibri" w:cs="Calibri"/>
          <w:iCs/>
          <w:color w:val="2F5496" w:themeColor="accent5" w:themeShade="BF"/>
          <w:lang w:eastAsia="pl-PL"/>
        </w:rPr>
        <w:t xml:space="preserve">pkt. 11.7.1 oraz 11.7.2 sformułowano </w:t>
      </w:r>
      <w:r w:rsidR="00E026C1" w:rsidRPr="004373A7">
        <w:rPr>
          <w:rFonts w:ascii="Calibri" w:hAnsi="Calibri" w:cs="Calibri"/>
          <w:b/>
          <w:iCs/>
          <w:color w:val="2F5496" w:themeColor="accent5" w:themeShade="BF"/>
          <w:u w:val="single"/>
          <w:lang w:eastAsia="pl-PL"/>
        </w:rPr>
        <w:t>kary umowne</w:t>
      </w:r>
      <w:r w:rsidR="00E026C1" w:rsidRPr="004373A7">
        <w:rPr>
          <w:rFonts w:ascii="Calibri" w:hAnsi="Calibri" w:cs="Calibri"/>
          <w:iCs/>
          <w:color w:val="2F5496" w:themeColor="accent5" w:themeShade="BF"/>
          <w:lang w:eastAsia="pl-PL"/>
        </w:rPr>
        <w:t xml:space="preserve"> za niedotrzymanie</w:t>
      </w:r>
      <w:r w:rsidR="004373A7" w:rsidRPr="004373A7">
        <w:rPr>
          <w:rFonts w:ascii="Calibri" w:hAnsi="Calibri" w:cs="Calibri"/>
          <w:iCs/>
          <w:color w:val="2F5496" w:themeColor="accent5" w:themeShade="BF"/>
          <w:lang w:eastAsia="pl-PL"/>
        </w:rPr>
        <w:t xml:space="preserve"> w okresie gwarancji,  parametrów ustalonych </w:t>
      </w:r>
      <w:r w:rsidR="004373A7">
        <w:rPr>
          <w:rFonts w:ascii="Calibri" w:hAnsi="Calibri" w:cs="Calibri"/>
          <w:iCs/>
          <w:color w:val="2F5496" w:themeColor="accent5" w:themeShade="BF"/>
          <w:lang w:eastAsia="pl-PL"/>
        </w:rPr>
        <w:t>w chwili odbioru instalacji.</w:t>
      </w:r>
    </w:p>
    <w:p w:rsidR="00933D55" w:rsidRDefault="00933D55" w:rsidP="006155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0"/>
          <w:szCs w:val="20"/>
          <w:u w:val="single"/>
          <w:lang w:eastAsia="pl-PL"/>
        </w:rPr>
      </w:pPr>
    </w:p>
    <w:p w:rsidR="00615592" w:rsidRPr="00615592" w:rsidRDefault="00615592" w:rsidP="008D097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eastAsia="pl-PL"/>
        </w:rPr>
      </w:pPr>
      <w:r w:rsidRPr="00615592">
        <w:rPr>
          <w:rFonts w:ascii="Calibri" w:hAnsi="Calibri" w:cs="Calibri"/>
          <w:color w:val="000000"/>
          <w:lang w:eastAsia="pl-PL"/>
        </w:rPr>
        <w:t>Dotyczy dokumentu: „SIWZ", rozdział 4.3, pkt 4.3.2 - zbiornik reakcyjny:</w:t>
      </w:r>
    </w:p>
    <w:p w:rsidR="00615592" w:rsidRPr="00615592" w:rsidRDefault="00615592" w:rsidP="008D0971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lang w:eastAsia="pl-PL"/>
        </w:rPr>
      </w:pPr>
      <w:r w:rsidRPr="00615592">
        <w:rPr>
          <w:rFonts w:ascii="Calibri" w:hAnsi="Calibri" w:cs="Calibri"/>
          <w:color w:val="000000"/>
          <w:lang w:eastAsia="pl-PL"/>
        </w:rPr>
        <w:t>W ramach tego punktu należy dostosować istniejący układ dozowania siarczku</w:t>
      </w:r>
    </w:p>
    <w:p w:rsidR="00615592" w:rsidRPr="00615592" w:rsidRDefault="00615592" w:rsidP="008D0971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lang w:eastAsia="pl-PL"/>
        </w:rPr>
      </w:pPr>
      <w:r w:rsidRPr="00615592">
        <w:rPr>
          <w:rFonts w:ascii="Calibri" w:hAnsi="Calibri" w:cs="Calibri"/>
          <w:color w:val="000000"/>
          <w:lang w:eastAsia="pl-PL"/>
        </w:rPr>
        <w:t>sodu do dozowania TMT15.</w:t>
      </w:r>
    </w:p>
    <w:p w:rsidR="00615592" w:rsidRDefault="00615592" w:rsidP="008D0971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i/>
          <w:iCs/>
          <w:color w:val="000000"/>
          <w:sz w:val="20"/>
          <w:szCs w:val="20"/>
          <w:u w:val="single"/>
          <w:lang w:eastAsia="pl-PL"/>
        </w:rPr>
      </w:pPr>
      <w:r w:rsidRPr="00615592">
        <w:rPr>
          <w:rFonts w:ascii="Calibri" w:hAnsi="Calibri" w:cs="Calibri"/>
          <w:i/>
          <w:iCs/>
          <w:color w:val="000000"/>
          <w:sz w:val="20"/>
          <w:szCs w:val="20"/>
          <w:u w:val="single"/>
          <w:lang w:eastAsia="pl-PL"/>
        </w:rPr>
        <w:t>Prosimy o informację czy w zakres modernizacji tego układu wchodzi tylko dostawa układu dozowania TMT15 wraz z zbiornikiem magazynowania typu IBC (po opróżnieniu zbiornik będzie wymieniany na nowy za pomocą np. wózka widłowego) czy należy przewidzieć również układ pompowy do rozładunku zbiorników transportowych.</w:t>
      </w:r>
    </w:p>
    <w:p w:rsidR="002F34EA" w:rsidRDefault="002F34EA" w:rsidP="006155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0"/>
          <w:szCs w:val="20"/>
          <w:u w:val="single"/>
          <w:lang w:eastAsia="pl-PL"/>
        </w:rPr>
      </w:pPr>
    </w:p>
    <w:p w:rsidR="00814F2C" w:rsidRDefault="00814F2C" w:rsidP="00814F2C">
      <w:pPr>
        <w:rPr>
          <w:color w:val="1F497D"/>
        </w:rPr>
      </w:pPr>
      <w:r w:rsidRPr="00732071">
        <w:rPr>
          <w:rFonts w:ascii="Calibri" w:hAnsi="Calibri" w:cs="Calibri"/>
          <w:i/>
          <w:iCs/>
          <w:color w:val="000000"/>
          <w:sz w:val="20"/>
          <w:szCs w:val="20"/>
          <w:u w:val="single"/>
          <w:lang w:eastAsia="pl-PL"/>
        </w:rPr>
        <w:t>Odp.</w:t>
      </w:r>
      <w:r>
        <w:rPr>
          <w:b/>
          <w:bCs/>
          <w:color w:val="1F497D"/>
        </w:rPr>
        <w:t xml:space="preserve"> </w:t>
      </w:r>
      <w:r w:rsidRPr="00732071">
        <w:rPr>
          <w:b/>
          <w:bCs/>
          <w:i/>
          <w:color w:val="1F497D"/>
        </w:rPr>
        <w:t>Ad4.</w:t>
      </w:r>
      <w:r>
        <w:rPr>
          <w:color w:val="1F497D"/>
        </w:rPr>
        <w:t xml:space="preserve"> Zapis należy rozumieć przez dostawę / lub modernizacje istniejącego zbiornika Na2S zbiornika magazynowego TMT15 do którego będzie odbywał się rozładunek dowiezionych na paletach pojemników.  Należy przewidzieć układ pompowy do rozładunku.</w:t>
      </w:r>
      <w:r w:rsidRPr="004A20F1">
        <w:rPr>
          <w:color w:val="1F497D"/>
        </w:rPr>
        <w:t xml:space="preserve"> </w:t>
      </w:r>
      <w:r w:rsidRPr="00933D55">
        <w:rPr>
          <w:color w:val="2F5496" w:themeColor="accent5" w:themeShade="BF"/>
        </w:rPr>
        <w:t>Podobnie jak w istniejącym układzie rozładunku i magazynowania FeCL3</w:t>
      </w:r>
      <w:r>
        <w:rPr>
          <w:color w:val="2F5496" w:themeColor="accent5" w:themeShade="BF"/>
        </w:rPr>
        <w:t xml:space="preserve">. </w:t>
      </w:r>
      <w:r>
        <w:rPr>
          <w:color w:val="1F497D"/>
        </w:rPr>
        <w:t>W dostawie nowego separatora szlamu należy uwzględnić przede wszystkim funkcjonalność urządzenia, wymiary nie są istotne (zapis w SIWZ II jest nieprecyzyjny). Układ ma zapewnić wymaganą wydajność oczyszczalni ścieków i jakość ścieków na wylocie z oczyszczalni</w:t>
      </w:r>
    </w:p>
    <w:p w:rsidR="00615592" w:rsidRPr="008D0971" w:rsidRDefault="00615592" w:rsidP="006155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eastAsia="pl-PL"/>
        </w:rPr>
      </w:pPr>
      <w:r w:rsidRPr="00615592">
        <w:rPr>
          <w:rFonts w:ascii="Calibri" w:hAnsi="Calibri" w:cs="Calibri"/>
          <w:color w:val="000000"/>
          <w:lang w:eastAsia="pl-PL"/>
        </w:rPr>
        <w:t>Dotyczy dokumentu: „SIWZ", rozdział 4.3, pkt 4.3.3 - węzeł dozowania Ca(OH)</w:t>
      </w:r>
      <w:r w:rsidRPr="00615592">
        <w:rPr>
          <w:rFonts w:ascii="Calibri" w:hAnsi="Calibri" w:cs="Calibri"/>
          <w:color w:val="000000"/>
          <w:vertAlign w:val="subscript"/>
          <w:lang w:eastAsia="pl-PL"/>
        </w:rPr>
        <w:t>2</w:t>
      </w:r>
      <w:r w:rsidRPr="00615592">
        <w:rPr>
          <w:rFonts w:ascii="Calibri" w:hAnsi="Calibri" w:cs="Calibri"/>
          <w:color w:val="000000"/>
          <w:lang w:eastAsia="pl-PL"/>
        </w:rPr>
        <w:t>:</w:t>
      </w:r>
      <w:r w:rsidR="008D0971">
        <w:rPr>
          <w:rFonts w:ascii="Calibri" w:hAnsi="Calibri" w:cs="Calibri"/>
          <w:color w:val="000000"/>
          <w:lang w:eastAsia="pl-PL"/>
        </w:rPr>
        <w:t xml:space="preserve"> </w:t>
      </w:r>
      <w:r w:rsidRPr="008D0971">
        <w:rPr>
          <w:rFonts w:ascii="Calibri" w:hAnsi="Calibri" w:cs="Calibri"/>
          <w:color w:val="000000"/>
          <w:lang w:eastAsia="pl-PL"/>
        </w:rPr>
        <w:t>W ramach tego punktu należy zwiększyć wydajność istniejącego układ roztwarzania i dozowania mleka wapiennego.</w:t>
      </w:r>
    </w:p>
    <w:p w:rsidR="008D0971" w:rsidRDefault="00615592" w:rsidP="008D097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i/>
          <w:iCs/>
          <w:color w:val="000000"/>
          <w:sz w:val="20"/>
          <w:szCs w:val="20"/>
          <w:u w:val="single"/>
          <w:lang w:eastAsia="pl-PL"/>
        </w:rPr>
      </w:pPr>
      <w:r w:rsidRPr="00615592">
        <w:rPr>
          <w:rFonts w:ascii="Calibri" w:hAnsi="Calibri" w:cs="Calibri"/>
          <w:i/>
          <w:iCs/>
          <w:color w:val="000000"/>
          <w:sz w:val="20"/>
          <w:szCs w:val="20"/>
          <w:u w:val="single"/>
          <w:lang w:eastAsia="pl-PL"/>
        </w:rPr>
        <w:t xml:space="preserve">W celu właściwego doboru </w:t>
      </w:r>
      <w:proofErr w:type="spellStart"/>
      <w:r w:rsidRPr="00615592">
        <w:rPr>
          <w:rFonts w:ascii="Calibri" w:hAnsi="Calibri" w:cs="Calibri"/>
          <w:i/>
          <w:iCs/>
          <w:color w:val="000000"/>
          <w:sz w:val="20"/>
          <w:szCs w:val="20"/>
          <w:u w:val="single"/>
          <w:lang w:eastAsia="pl-PL"/>
        </w:rPr>
        <w:t>urzgdzeń</w:t>
      </w:r>
      <w:proofErr w:type="spellEnd"/>
      <w:r w:rsidRPr="00615592">
        <w:rPr>
          <w:rFonts w:ascii="Calibri" w:hAnsi="Calibri" w:cs="Calibri"/>
          <w:i/>
          <w:iCs/>
          <w:color w:val="000000"/>
          <w:sz w:val="20"/>
          <w:szCs w:val="20"/>
          <w:u w:val="single"/>
          <w:lang w:eastAsia="pl-PL"/>
        </w:rPr>
        <w:t xml:space="preserve"> prosimy o podanie aktualnie stosowanych dawek mleka wapiennego w celu zapewnienia właściwego </w:t>
      </w:r>
      <w:proofErr w:type="spellStart"/>
      <w:r w:rsidRPr="00615592">
        <w:rPr>
          <w:rFonts w:ascii="Calibri" w:hAnsi="Calibri" w:cs="Calibri"/>
          <w:i/>
          <w:iCs/>
          <w:color w:val="000000"/>
          <w:sz w:val="20"/>
          <w:szCs w:val="20"/>
          <w:u w:val="single"/>
          <w:lang w:eastAsia="pl-PL"/>
        </w:rPr>
        <w:t>pH</w:t>
      </w:r>
      <w:proofErr w:type="spellEnd"/>
      <w:r w:rsidRPr="00615592">
        <w:rPr>
          <w:rFonts w:ascii="Calibri" w:hAnsi="Calibri" w:cs="Calibri"/>
          <w:i/>
          <w:iCs/>
          <w:color w:val="000000"/>
          <w:sz w:val="20"/>
          <w:szCs w:val="20"/>
          <w:u w:val="single"/>
          <w:lang w:eastAsia="pl-PL"/>
        </w:rPr>
        <w:t xml:space="preserve"> ścieków w zbiornikach reakcyjnych.</w:t>
      </w:r>
    </w:p>
    <w:p w:rsidR="00615592" w:rsidRDefault="00615592" w:rsidP="008D097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i/>
          <w:iCs/>
          <w:color w:val="000000"/>
          <w:sz w:val="20"/>
          <w:szCs w:val="20"/>
          <w:u w:val="single"/>
          <w:lang w:eastAsia="pl-PL"/>
        </w:rPr>
      </w:pPr>
      <w:r w:rsidRPr="00615592">
        <w:rPr>
          <w:rFonts w:ascii="Calibri" w:hAnsi="Calibri" w:cs="Calibri"/>
          <w:i/>
          <w:iCs/>
          <w:color w:val="000000"/>
          <w:sz w:val="20"/>
          <w:szCs w:val="20"/>
          <w:u w:val="single"/>
          <w:lang w:eastAsia="pl-PL"/>
        </w:rPr>
        <w:t>Czy zakres modernizacji ma obejmować również urządzenia podające wapno hydratyzowane do zbiorników roztwarzania (przenośnik celkowy, przenośnik śrubowy)?</w:t>
      </w:r>
    </w:p>
    <w:p w:rsidR="00732071" w:rsidRDefault="00732071" w:rsidP="0093010A">
      <w:pPr>
        <w:jc w:val="both"/>
        <w:rPr>
          <w:rFonts w:ascii="Calibri" w:hAnsi="Calibri" w:cs="Calibri"/>
          <w:i/>
          <w:iCs/>
          <w:color w:val="000000"/>
          <w:sz w:val="20"/>
          <w:szCs w:val="20"/>
          <w:u w:val="single"/>
          <w:lang w:eastAsia="pl-PL"/>
        </w:rPr>
      </w:pPr>
    </w:p>
    <w:p w:rsidR="00814F2C" w:rsidRDefault="00814F2C" w:rsidP="0093010A">
      <w:pPr>
        <w:jc w:val="both"/>
        <w:rPr>
          <w:color w:val="1F497D"/>
        </w:rPr>
      </w:pPr>
      <w:r>
        <w:rPr>
          <w:rFonts w:ascii="Calibri" w:hAnsi="Calibri" w:cs="Calibri"/>
          <w:i/>
          <w:iCs/>
          <w:color w:val="000000"/>
          <w:sz w:val="20"/>
          <w:szCs w:val="20"/>
          <w:u w:val="single"/>
          <w:lang w:eastAsia="pl-PL"/>
        </w:rPr>
        <w:t>Odp</w:t>
      </w:r>
      <w:r w:rsidRPr="00732071">
        <w:rPr>
          <w:rFonts w:ascii="Calibri" w:hAnsi="Calibri" w:cs="Calibri"/>
          <w:b/>
          <w:i/>
          <w:iCs/>
          <w:color w:val="000000"/>
          <w:sz w:val="20"/>
          <w:szCs w:val="20"/>
          <w:u w:val="single"/>
          <w:lang w:eastAsia="pl-PL"/>
        </w:rPr>
        <w:t>.</w:t>
      </w:r>
      <w:r w:rsidRPr="00732071">
        <w:rPr>
          <w:b/>
          <w:bCs/>
          <w:i/>
          <w:color w:val="1F497D"/>
        </w:rPr>
        <w:t xml:space="preserve"> Ad5.</w:t>
      </w:r>
      <w:r>
        <w:rPr>
          <w:color w:val="1F497D"/>
        </w:rPr>
        <w:t xml:space="preserve"> Aktualnie stosowane dawki mleka wapiennego: średnie zużycie roztworu 12,5% Ca(OH)2 wynosi 750 kg/h (przy średniej wydajności oczyszczalni 35 m</w:t>
      </w:r>
      <w:r w:rsidRPr="0093010A">
        <w:rPr>
          <w:color w:val="1F497D"/>
          <w:vertAlign w:val="superscript"/>
        </w:rPr>
        <w:t>3</w:t>
      </w:r>
      <w:r>
        <w:rPr>
          <w:color w:val="1F497D"/>
        </w:rPr>
        <w:t xml:space="preserve">/h), przy </w:t>
      </w:r>
      <w:proofErr w:type="spellStart"/>
      <w:r>
        <w:rPr>
          <w:color w:val="1F497D"/>
        </w:rPr>
        <w:t>pH</w:t>
      </w:r>
      <w:proofErr w:type="spellEnd"/>
      <w:r>
        <w:rPr>
          <w:color w:val="1F497D"/>
        </w:rPr>
        <w:t xml:space="preserve"> wejściowym ca 5,5. Po modernizacji będzie należało podnieść z </w:t>
      </w:r>
      <w:proofErr w:type="spellStart"/>
      <w:r>
        <w:rPr>
          <w:color w:val="1F497D"/>
        </w:rPr>
        <w:t>pH</w:t>
      </w:r>
      <w:proofErr w:type="spellEnd"/>
      <w:r>
        <w:rPr>
          <w:color w:val="1F497D"/>
        </w:rPr>
        <w:t xml:space="preserve"> w okolicy 2.0 do </w:t>
      </w:r>
      <w:proofErr w:type="spellStart"/>
      <w:r>
        <w:rPr>
          <w:color w:val="1F497D"/>
        </w:rPr>
        <w:t>pH</w:t>
      </w:r>
      <w:proofErr w:type="spellEnd"/>
      <w:r>
        <w:rPr>
          <w:color w:val="1F497D"/>
        </w:rPr>
        <w:t xml:space="preserve"> wymaganego. W zakresie modernizacji jest wymiana na nowe podajnik celkowy, przenośnik śrubowy, mieszalnik (zbiornik + mieszadło) wraz z przynależną armaturą. </w:t>
      </w:r>
    </w:p>
    <w:p w:rsidR="00814F2C" w:rsidRDefault="00615592" w:rsidP="006155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eastAsia="pl-PL"/>
        </w:rPr>
      </w:pPr>
      <w:r w:rsidRPr="00615592">
        <w:rPr>
          <w:rFonts w:ascii="Calibri" w:hAnsi="Calibri" w:cs="Calibri"/>
          <w:color w:val="000000"/>
          <w:lang w:eastAsia="pl-PL"/>
        </w:rPr>
        <w:t xml:space="preserve">Dotyczy dokumentu: „SIWZ", rozdział 4.3, pkt 4.3.4 - układ osadników </w:t>
      </w:r>
      <w:proofErr w:type="spellStart"/>
      <w:r w:rsidRPr="00615592">
        <w:rPr>
          <w:rFonts w:ascii="Calibri" w:hAnsi="Calibri" w:cs="Calibri"/>
          <w:color w:val="000000"/>
          <w:lang w:eastAsia="pl-PL"/>
        </w:rPr>
        <w:t>lamelowych</w:t>
      </w:r>
      <w:proofErr w:type="spellEnd"/>
      <w:r w:rsidRPr="00615592">
        <w:rPr>
          <w:rFonts w:ascii="Calibri" w:hAnsi="Calibri" w:cs="Calibri"/>
          <w:color w:val="000000"/>
          <w:lang w:eastAsia="pl-PL"/>
        </w:rPr>
        <w:t>.</w:t>
      </w:r>
      <w:r w:rsidR="00814F2C">
        <w:rPr>
          <w:rFonts w:ascii="Calibri" w:hAnsi="Calibri" w:cs="Calibri"/>
          <w:color w:val="000000"/>
          <w:lang w:eastAsia="pl-PL"/>
        </w:rPr>
        <w:t xml:space="preserve"> </w:t>
      </w:r>
    </w:p>
    <w:p w:rsidR="00615592" w:rsidRPr="00814F2C" w:rsidRDefault="00615592" w:rsidP="00814F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/>
          <w:lang w:eastAsia="pl-PL"/>
        </w:rPr>
      </w:pPr>
      <w:r w:rsidRPr="00814F2C">
        <w:rPr>
          <w:rFonts w:ascii="Calibri" w:hAnsi="Calibri" w:cs="Calibri"/>
          <w:i/>
          <w:iCs/>
          <w:color w:val="000000"/>
          <w:sz w:val="20"/>
          <w:szCs w:val="20"/>
          <w:u w:val="single"/>
          <w:lang w:eastAsia="pl-PL"/>
        </w:rPr>
        <w:t xml:space="preserve">W celu dostarczenia nowego osadnika </w:t>
      </w:r>
      <w:proofErr w:type="spellStart"/>
      <w:r w:rsidRPr="00814F2C">
        <w:rPr>
          <w:rFonts w:ascii="Calibri" w:hAnsi="Calibri" w:cs="Calibri"/>
          <w:i/>
          <w:iCs/>
          <w:color w:val="000000"/>
          <w:sz w:val="20"/>
          <w:szCs w:val="20"/>
          <w:u w:val="single"/>
          <w:lang w:eastAsia="pl-PL"/>
        </w:rPr>
        <w:t>lamelowego</w:t>
      </w:r>
      <w:proofErr w:type="spellEnd"/>
      <w:r w:rsidRPr="00814F2C">
        <w:rPr>
          <w:rFonts w:ascii="Calibri" w:hAnsi="Calibri" w:cs="Calibri"/>
          <w:i/>
          <w:iCs/>
          <w:color w:val="000000"/>
          <w:sz w:val="20"/>
          <w:szCs w:val="20"/>
          <w:u w:val="single"/>
          <w:lang w:eastAsia="pl-PL"/>
        </w:rPr>
        <w:t xml:space="preserve"> identycznego z istniejącymi urządzeniami prosimy o przekazanie dokumentacji technicznej istniejących osadników (wymiary, obciążenie hydrauliczne, powierzchnia sedymentacji)</w:t>
      </w:r>
    </w:p>
    <w:p w:rsidR="00814F2C" w:rsidRDefault="00814F2C" w:rsidP="00732071">
      <w:pPr>
        <w:spacing w:after="0"/>
        <w:rPr>
          <w:color w:val="1F497D"/>
        </w:rPr>
      </w:pPr>
      <w:r>
        <w:rPr>
          <w:rFonts w:ascii="Calibri" w:hAnsi="Calibri" w:cs="Calibri"/>
          <w:i/>
          <w:iCs/>
          <w:color w:val="000000"/>
          <w:sz w:val="20"/>
          <w:szCs w:val="20"/>
          <w:u w:val="single"/>
          <w:lang w:eastAsia="pl-PL"/>
        </w:rPr>
        <w:t>Odp.</w:t>
      </w:r>
      <w:r w:rsidRPr="004A20F1">
        <w:rPr>
          <w:b/>
          <w:bCs/>
          <w:color w:val="1F497D"/>
        </w:rPr>
        <w:t xml:space="preserve"> </w:t>
      </w:r>
      <w:r w:rsidRPr="00732071">
        <w:rPr>
          <w:b/>
          <w:bCs/>
          <w:i/>
          <w:color w:val="1F497D"/>
        </w:rPr>
        <w:t>Ad6</w:t>
      </w:r>
      <w:r>
        <w:rPr>
          <w:b/>
          <w:bCs/>
          <w:color w:val="1F497D"/>
        </w:rPr>
        <w:t>.</w:t>
      </w:r>
      <w:r>
        <w:rPr>
          <w:color w:val="1F497D"/>
        </w:rPr>
        <w:t xml:space="preserve"> </w:t>
      </w:r>
    </w:p>
    <w:p w:rsidR="00814F2C" w:rsidRDefault="00814F2C" w:rsidP="0093010A">
      <w:pPr>
        <w:jc w:val="both"/>
        <w:rPr>
          <w:color w:val="1F497D"/>
        </w:rPr>
      </w:pPr>
      <w:r>
        <w:rPr>
          <w:color w:val="1F497D"/>
        </w:rPr>
        <w:t>Zapis w SIWZ  rozdział 4.3 pkt 4.3.4” „</w:t>
      </w:r>
      <w:r>
        <w:rPr>
          <w:i/>
          <w:iCs/>
          <w:color w:val="1F497D"/>
        </w:rPr>
        <w:t xml:space="preserve"> Wymiary nowego osadnika </w:t>
      </w:r>
      <w:proofErr w:type="spellStart"/>
      <w:r>
        <w:rPr>
          <w:i/>
          <w:iCs/>
          <w:color w:val="1F497D"/>
        </w:rPr>
        <w:t>lamelowego</w:t>
      </w:r>
      <w:proofErr w:type="spellEnd"/>
      <w:r>
        <w:rPr>
          <w:i/>
          <w:iCs/>
          <w:color w:val="1F497D"/>
        </w:rPr>
        <w:t xml:space="preserve"> (wydajność, powierzchnia, głębokość, obciążenie) będą takie jak istniejących osadników”. </w:t>
      </w:r>
      <w:r>
        <w:rPr>
          <w:color w:val="1F497D"/>
        </w:rPr>
        <w:t xml:space="preserve">„ zmienia się na : </w:t>
      </w:r>
      <w:r>
        <w:rPr>
          <w:i/>
          <w:iCs/>
          <w:color w:val="1F497D"/>
        </w:rPr>
        <w:t xml:space="preserve">„Wydajność  nowego osadnika </w:t>
      </w:r>
      <w:proofErr w:type="spellStart"/>
      <w:r>
        <w:rPr>
          <w:i/>
          <w:iCs/>
          <w:color w:val="1F497D"/>
        </w:rPr>
        <w:t>lamelowego</w:t>
      </w:r>
      <w:proofErr w:type="spellEnd"/>
      <w:r>
        <w:rPr>
          <w:i/>
          <w:iCs/>
          <w:color w:val="1F497D"/>
        </w:rPr>
        <w:t xml:space="preserve"> będzie taka jak istniejących osadników”.</w:t>
      </w:r>
      <w:r>
        <w:rPr>
          <w:color w:val="1F497D"/>
        </w:rPr>
        <w:t xml:space="preserve"> Zamawiający nie posiada dokumentacji technicznej istniejących osadników </w:t>
      </w:r>
      <w:proofErr w:type="spellStart"/>
      <w:r>
        <w:rPr>
          <w:color w:val="1F497D"/>
        </w:rPr>
        <w:t>lamelowych</w:t>
      </w:r>
      <w:proofErr w:type="spellEnd"/>
      <w:r w:rsidR="0093010A">
        <w:rPr>
          <w:color w:val="1F497D"/>
        </w:rPr>
        <w:t>.</w:t>
      </w:r>
    </w:p>
    <w:p w:rsidR="00814F2C" w:rsidRDefault="00615592" w:rsidP="006155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eastAsia="pl-PL"/>
        </w:rPr>
      </w:pPr>
      <w:r w:rsidRPr="00615592">
        <w:rPr>
          <w:rFonts w:ascii="Calibri" w:hAnsi="Calibri" w:cs="Calibri"/>
          <w:color w:val="000000"/>
          <w:lang w:eastAsia="pl-PL"/>
        </w:rPr>
        <w:t>Dotyczy dokumentu: „SIWZ", rozdział4.3, pkt 4.3.5-węzeł</w:t>
      </w:r>
      <w:r w:rsidR="00814F2C">
        <w:rPr>
          <w:rFonts w:ascii="Calibri" w:hAnsi="Calibri" w:cs="Calibri"/>
          <w:color w:val="000000"/>
          <w:lang w:eastAsia="pl-PL"/>
        </w:rPr>
        <w:t xml:space="preserve"> </w:t>
      </w:r>
      <w:r w:rsidRPr="00615592">
        <w:rPr>
          <w:rFonts w:ascii="Calibri" w:hAnsi="Calibri" w:cs="Calibri"/>
          <w:color w:val="000000"/>
          <w:lang w:eastAsia="pl-PL"/>
        </w:rPr>
        <w:t>filtracji.</w:t>
      </w:r>
    </w:p>
    <w:p w:rsidR="00615592" w:rsidRDefault="00615592" w:rsidP="00814F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i/>
          <w:iCs/>
          <w:color w:val="000000"/>
          <w:sz w:val="20"/>
          <w:szCs w:val="20"/>
          <w:u w:val="single"/>
          <w:lang w:eastAsia="pl-PL"/>
        </w:rPr>
      </w:pPr>
      <w:r w:rsidRPr="00814F2C">
        <w:rPr>
          <w:rFonts w:ascii="Calibri" w:hAnsi="Calibri" w:cs="Calibri"/>
          <w:i/>
          <w:iCs/>
          <w:color w:val="000000"/>
          <w:sz w:val="20"/>
          <w:szCs w:val="20"/>
          <w:u w:val="single"/>
          <w:lang w:eastAsia="pl-PL"/>
        </w:rPr>
        <w:t xml:space="preserve">W celu dostarczenia nowego filtra piaskowego identycznego z </w:t>
      </w:r>
      <w:proofErr w:type="spellStart"/>
      <w:r w:rsidRPr="00814F2C">
        <w:rPr>
          <w:rFonts w:ascii="Calibri" w:hAnsi="Calibri" w:cs="Calibri"/>
          <w:i/>
          <w:iCs/>
          <w:color w:val="000000"/>
          <w:sz w:val="20"/>
          <w:szCs w:val="20"/>
          <w:u w:val="single"/>
          <w:lang w:eastAsia="pl-PL"/>
        </w:rPr>
        <w:t>istniejgcymi</w:t>
      </w:r>
      <w:proofErr w:type="spellEnd"/>
      <w:r w:rsidRPr="00814F2C">
        <w:rPr>
          <w:rFonts w:ascii="Calibri" w:hAnsi="Calibri" w:cs="Calibri"/>
          <w:i/>
          <w:iCs/>
          <w:color w:val="000000"/>
          <w:sz w:val="20"/>
          <w:szCs w:val="20"/>
          <w:u w:val="single"/>
          <w:lang w:eastAsia="pl-PL"/>
        </w:rPr>
        <w:t xml:space="preserve"> urządzeniami prosimy o przekazanie dokumentacji technicznej istniejących filtrów (wymiary, obciążenie hydrauliczne, powierzchnia złoża, kartę danych złoża filtracyjnego.</w:t>
      </w:r>
    </w:p>
    <w:p w:rsidR="00814F2C" w:rsidRDefault="00814F2C" w:rsidP="00814F2C">
      <w:pPr>
        <w:spacing w:after="0"/>
        <w:rPr>
          <w:color w:val="1F497D"/>
        </w:rPr>
      </w:pPr>
      <w:r w:rsidRPr="00732071">
        <w:rPr>
          <w:rFonts w:ascii="Calibri" w:hAnsi="Calibri" w:cs="Calibri"/>
          <w:i/>
          <w:iCs/>
          <w:color w:val="000000"/>
          <w:sz w:val="20"/>
          <w:szCs w:val="20"/>
          <w:u w:val="single"/>
          <w:lang w:eastAsia="pl-PL"/>
        </w:rPr>
        <w:t>Odp.</w:t>
      </w:r>
      <w:r w:rsidRPr="00732071">
        <w:rPr>
          <w:b/>
          <w:bCs/>
          <w:i/>
          <w:color w:val="1F497D"/>
        </w:rPr>
        <w:t>Ad7</w:t>
      </w:r>
      <w:r w:rsidRPr="00732071">
        <w:rPr>
          <w:b/>
          <w:i/>
          <w:color w:val="1F497D"/>
        </w:rPr>
        <w:t>.</w:t>
      </w:r>
    </w:p>
    <w:p w:rsidR="00814F2C" w:rsidRDefault="00814F2C" w:rsidP="00814F2C">
      <w:pPr>
        <w:spacing w:after="0" w:line="240" w:lineRule="auto"/>
        <w:rPr>
          <w:color w:val="1F497D"/>
        </w:rPr>
      </w:pPr>
      <w:r>
        <w:rPr>
          <w:color w:val="1F497D"/>
        </w:rPr>
        <w:t>Zamawiający nie posiada dokumentacji technicznej istniejących filtrów piaskowych. Zamawiający dysponuje następującymi danymi odnośnie filtrów piaskowych:</w:t>
      </w:r>
    </w:p>
    <w:p w:rsidR="00814F2C" w:rsidRDefault="00814F2C" w:rsidP="00814F2C">
      <w:pPr>
        <w:spacing w:after="0" w:line="240" w:lineRule="auto"/>
        <w:rPr>
          <w:color w:val="1F497D"/>
        </w:rPr>
      </w:pPr>
      <w:r>
        <w:rPr>
          <w:color w:val="1F497D"/>
        </w:rPr>
        <w:t>Dane techniczne</w:t>
      </w:r>
      <w:r w:rsidR="0093010A">
        <w:rPr>
          <w:color w:val="1F497D"/>
        </w:rPr>
        <w:t>:</w:t>
      </w:r>
    </w:p>
    <w:p w:rsidR="00814F2C" w:rsidRDefault="00814F2C" w:rsidP="00814F2C">
      <w:pPr>
        <w:numPr>
          <w:ilvl w:val="0"/>
          <w:numId w:val="3"/>
        </w:numPr>
        <w:spacing w:after="0" w:line="240" w:lineRule="auto"/>
        <w:rPr>
          <w:color w:val="1F497D"/>
        </w:rPr>
      </w:pPr>
      <w:r>
        <w:rPr>
          <w:color w:val="1F497D"/>
        </w:rPr>
        <w:t xml:space="preserve">filtr  </w:t>
      </w:r>
      <w:proofErr w:type="spellStart"/>
      <w:r>
        <w:rPr>
          <w:color w:val="1F497D"/>
        </w:rPr>
        <w:t>Dynasand</w:t>
      </w:r>
      <w:proofErr w:type="spellEnd"/>
      <w:r>
        <w:rPr>
          <w:color w:val="1F497D"/>
        </w:rPr>
        <w:t xml:space="preserve"> - 2xDST  50E/GRP</w:t>
      </w:r>
    </w:p>
    <w:p w:rsidR="00814F2C" w:rsidRDefault="00814F2C" w:rsidP="00814F2C">
      <w:pPr>
        <w:numPr>
          <w:ilvl w:val="0"/>
          <w:numId w:val="3"/>
        </w:numPr>
        <w:spacing w:after="0" w:line="240" w:lineRule="auto"/>
        <w:rPr>
          <w:color w:val="1F497D"/>
        </w:rPr>
      </w:pPr>
      <w:r>
        <w:rPr>
          <w:color w:val="1F497D"/>
        </w:rPr>
        <w:t>numer seryjny -22277: 1-2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3193"/>
        <w:gridCol w:w="3199"/>
      </w:tblGrid>
      <w:tr w:rsidR="00814F2C" w:rsidTr="00913A01">
        <w:tc>
          <w:tcPr>
            <w:tcW w:w="33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F2C" w:rsidRDefault="00814F2C" w:rsidP="00913A01">
            <w:pPr>
              <w:spacing w:after="0" w:line="240" w:lineRule="auto"/>
              <w:rPr>
                <w:color w:val="1F497D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F2C" w:rsidRDefault="00814F2C" w:rsidP="00913A01">
            <w:pPr>
              <w:numPr>
                <w:ilvl w:val="12"/>
                <w:numId w:val="0"/>
              </w:numPr>
              <w:spacing w:after="0" w:line="240" w:lineRule="auto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Każdy</w:t>
            </w: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F2C" w:rsidRDefault="00814F2C" w:rsidP="00913A01">
            <w:pPr>
              <w:numPr>
                <w:ilvl w:val="12"/>
                <w:numId w:val="0"/>
              </w:numPr>
              <w:spacing w:after="0" w:line="240" w:lineRule="auto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Całkowity</w:t>
            </w:r>
          </w:p>
        </w:tc>
      </w:tr>
      <w:tr w:rsidR="00814F2C" w:rsidTr="00913A01">
        <w:tc>
          <w:tcPr>
            <w:tcW w:w="335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F2C" w:rsidRDefault="00814F2C" w:rsidP="00913A01">
            <w:pPr>
              <w:numPr>
                <w:ilvl w:val="12"/>
                <w:numId w:val="0"/>
              </w:numPr>
              <w:spacing w:after="0" w:line="240" w:lineRule="auto"/>
              <w:rPr>
                <w:color w:val="1F497D"/>
              </w:rPr>
            </w:pPr>
            <w:r>
              <w:rPr>
                <w:color w:val="1F497D"/>
              </w:rPr>
              <w:t>ciężar przy opróżnieniu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F2C" w:rsidRDefault="00814F2C" w:rsidP="00913A01">
            <w:pPr>
              <w:numPr>
                <w:ilvl w:val="12"/>
                <w:numId w:val="0"/>
              </w:numPr>
              <w:spacing w:after="0" w:line="240" w:lineRule="auto"/>
              <w:rPr>
                <w:color w:val="1F497D"/>
              </w:rPr>
            </w:pPr>
            <w:r>
              <w:rPr>
                <w:color w:val="1F497D"/>
              </w:rPr>
              <w:t>2300 kg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F2C" w:rsidRDefault="00814F2C" w:rsidP="00913A01">
            <w:pPr>
              <w:numPr>
                <w:ilvl w:val="12"/>
                <w:numId w:val="0"/>
              </w:numPr>
              <w:spacing w:after="0" w:line="240" w:lineRule="auto"/>
              <w:rPr>
                <w:color w:val="1F497D"/>
              </w:rPr>
            </w:pPr>
            <w:r>
              <w:rPr>
                <w:color w:val="1F497D"/>
              </w:rPr>
              <w:t>4600 kg</w:t>
            </w:r>
          </w:p>
        </w:tc>
      </w:tr>
      <w:tr w:rsidR="00814F2C" w:rsidTr="00913A01">
        <w:tc>
          <w:tcPr>
            <w:tcW w:w="335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F2C" w:rsidRDefault="00814F2C" w:rsidP="00913A01">
            <w:pPr>
              <w:numPr>
                <w:ilvl w:val="12"/>
                <w:numId w:val="0"/>
              </w:numPr>
              <w:spacing w:after="0" w:line="240" w:lineRule="auto"/>
              <w:rPr>
                <w:color w:val="1F497D"/>
              </w:rPr>
            </w:pPr>
            <w:r>
              <w:rPr>
                <w:color w:val="1F497D"/>
              </w:rPr>
              <w:t>napełnienie piaskiem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F2C" w:rsidRDefault="00814F2C" w:rsidP="00913A01">
            <w:pPr>
              <w:numPr>
                <w:ilvl w:val="12"/>
                <w:numId w:val="0"/>
              </w:numPr>
              <w:spacing w:after="0" w:line="240" w:lineRule="auto"/>
              <w:rPr>
                <w:color w:val="1F497D"/>
              </w:rPr>
            </w:pPr>
            <w:r>
              <w:rPr>
                <w:color w:val="1F497D"/>
              </w:rPr>
              <w:t>.......... m</w:t>
            </w:r>
            <w:r>
              <w:rPr>
                <w:color w:val="1F497D"/>
                <w:vertAlign w:val="superscript"/>
              </w:rPr>
              <w:t>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F2C" w:rsidRDefault="00814F2C" w:rsidP="00913A01">
            <w:pPr>
              <w:numPr>
                <w:ilvl w:val="12"/>
                <w:numId w:val="0"/>
              </w:numPr>
              <w:spacing w:after="0" w:line="240" w:lineRule="auto"/>
              <w:rPr>
                <w:color w:val="1F497D"/>
              </w:rPr>
            </w:pPr>
            <w:r>
              <w:rPr>
                <w:color w:val="1F497D"/>
              </w:rPr>
              <w:t>............ m</w:t>
            </w:r>
            <w:r>
              <w:rPr>
                <w:color w:val="1F497D"/>
                <w:vertAlign w:val="superscript"/>
              </w:rPr>
              <w:t>3</w:t>
            </w:r>
          </w:p>
        </w:tc>
      </w:tr>
      <w:tr w:rsidR="00814F2C" w:rsidTr="00913A01">
        <w:tc>
          <w:tcPr>
            <w:tcW w:w="335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F2C" w:rsidRDefault="00814F2C" w:rsidP="00913A01">
            <w:pPr>
              <w:numPr>
                <w:ilvl w:val="12"/>
                <w:numId w:val="0"/>
              </w:numPr>
              <w:spacing w:after="0" w:line="240" w:lineRule="auto"/>
              <w:rPr>
                <w:color w:val="1F497D"/>
              </w:rPr>
            </w:pPr>
            <w:r>
              <w:rPr>
                <w:color w:val="1F497D"/>
              </w:rPr>
              <w:t>napełnienie piaskiem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F2C" w:rsidRDefault="00814F2C" w:rsidP="00913A01">
            <w:pPr>
              <w:numPr>
                <w:ilvl w:val="12"/>
                <w:numId w:val="0"/>
              </w:numPr>
              <w:spacing w:after="0" w:line="240" w:lineRule="auto"/>
              <w:rPr>
                <w:color w:val="1F497D"/>
              </w:rPr>
            </w:pPr>
            <w:r>
              <w:rPr>
                <w:color w:val="1F497D"/>
              </w:rPr>
              <w:t>20 000 kg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F2C" w:rsidRDefault="00814F2C" w:rsidP="00913A01">
            <w:pPr>
              <w:numPr>
                <w:ilvl w:val="12"/>
                <w:numId w:val="0"/>
              </w:numPr>
              <w:spacing w:after="0" w:line="240" w:lineRule="auto"/>
              <w:rPr>
                <w:color w:val="1F497D"/>
              </w:rPr>
            </w:pPr>
            <w:r>
              <w:rPr>
                <w:color w:val="1F497D"/>
              </w:rPr>
              <w:t>40 000 kg</w:t>
            </w:r>
          </w:p>
        </w:tc>
      </w:tr>
      <w:tr w:rsidR="00814F2C" w:rsidTr="00913A01">
        <w:tc>
          <w:tcPr>
            <w:tcW w:w="335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F2C" w:rsidRDefault="00814F2C" w:rsidP="00913A01">
            <w:pPr>
              <w:numPr>
                <w:ilvl w:val="12"/>
                <w:numId w:val="0"/>
              </w:numPr>
              <w:spacing w:after="0" w:line="240" w:lineRule="auto"/>
              <w:rPr>
                <w:color w:val="1F497D"/>
              </w:rPr>
            </w:pPr>
            <w:r>
              <w:rPr>
                <w:color w:val="1F497D"/>
              </w:rPr>
              <w:t>ciężar podczas eksploatacji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F2C" w:rsidRDefault="00814F2C" w:rsidP="00913A01">
            <w:pPr>
              <w:numPr>
                <w:ilvl w:val="12"/>
                <w:numId w:val="0"/>
              </w:numPr>
              <w:spacing w:after="0" w:line="240" w:lineRule="auto"/>
              <w:rPr>
                <w:color w:val="1F497D"/>
              </w:rPr>
            </w:pPr>
            <w:r>
              <w:rPr>
                <w:color w:val="1F497D"/>
              </w:rPr>
              <w:t>38 000 kg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F2C" w:rsidRDefault="00814F2C" w:rsidP="00913A01">
            <w:pPr>
              <w:numPr>
                <w:ilvl w:val="12"/>
                <w:numId w:val="0"/>
              </w:numPr>
              <w:spacing w:after="0" w:line="240" w:lineRule="auto"/>
              <w:rPr>
                <w:color w:val="1F497D"/>
              </w:rPr>
            </w:pPr>
            <w:r>
              <w:rPr>
                <w:color w:val="1F497D"/>
              </w:rPr>
              <w:t>76 000 kg</w:t>
            </w:r>
          </w:p>
        </w:tc>
      </w:tr>
      <w:tr w:rsidR="00814F2C" w:rsidTr="00913A01">
        <w:tc>
          <w:tcPr>
            <w:tcW w:w="335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F2C" w:rsidRDefault="00814F2C" w:rsidP="00913A01">
            <w:pPr>
              <w:numPr>
                <w:ilvl w:val="12"/>
                <w:numId w:val="0"/>
              </w:numPr>
              <w:spacing w:after="0" w:line="240" w:lineRule="auto"/>
              <w:rPr>
                <w:color w:val="1F497D"/>
              </w:rPr>
            </w:pPr>
            <w:r>
              <w:rPr>
                <w:color w:val="1F497D"/>
              </w:rPr>
              <w:t>powierzchnia filtra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F2C" w:rsidRDefault="00814F2C" w:rsidP="00913A01">
            <w:pPr>
              <w:numPr>
                <w:ilvl w:val="12"/>
                <w:numId w:val="0"/>
              </w:numPr>
              <w:spacing w:after="0" w:line="240" w:lineRule="auto"/>
              <w:rPr>
                <w:color w:val="1F497D"/>
              </w:rPr>
            </w:pPr>
            <w:r>
              <w:rPr>
                <w:color w:val="1F497D"/>
              </w:rPr>
              <w:t>5 m</w:t>
            </w:r>
            <w:r>
              <w:rPr>
                <w:color w:val="1F497D"/>
                <w:vertAlign w:val="superscript"/>
              </w:rPr>
              <w:t>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F2C" w:rsidRDefault="00814F2C" w:rsidP="00913A01">
            <w:pPr>
              <w:numPr>
                <w:ilvl w:val="12"/>
                <w:numId w:val="0"/>
              </w:numPr>
              <w:spacing w:after="0" w:line="240" w:lineRule="auto"/>
              <w:rPr>
                <w:color w:val="1F497D"/>
              </w:rPr>
            </w:pPr>
            <w:r>
              <w:rPr>
                <w:color w:val="1F497D"/>
              </w:rPr>
              <w:t>10 m</w:t>
            </w:r>
            <w:r>
              <w:rPr>
                <w:color w:val="1F497D"/>
                <w:vertAlign w:val="superscript"/>
              </w:rPr>
              <w:t>2</w:t>
            </w:r>
          </w:p>
        </w:tc>
      </w:tr>
      <w:tr w:rsidR="00814F2C" w:rsidTr="00913A01">
        <w:tc>
          <w:tcPr>
            <w:tcW w:w="335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F2C" w:rsidRDefault="00814F2C" w:rsidP="00913A01">
            <w:pPr>
              <w:numPr>
                <w:ilvl w:val="12"/>
                <w:numId w:val="0"/>
              </w:numPr>
              <w:spacing w:after="0" w:line="240" w:lineRule="auto"/>
              <w:rPr>
                <w:color w:val="1F497D"/>
              </w:rPr>
            </w:pPr>
            <w:r>
              <w:rPr>
                <w:color w:val="1F497D"/>
              </w:rPr>
              <w:lastRenderedPageBreak/>
              <w:t>Projektowa szybkość przepływu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F2C" w:rsidRDefault="00814F2C" w:rsidP="00913A01">
            <w:pPr>
              <w:numPr>
                <w:ilvl w:val="12"/>
                <w:numId w:val="0"/>
              </w:numPr>
              <w:spacing w:after="0" w:line="240" w:lineRule="auto"/>
              <w:rPr>
                <w:color w:val="1F497D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F2C" w:rsidRDefault="00814F2C" w:rsidP="00913A01">
            <w:pPr>
              <w:numPr>
                <w:ilvl w:val="12"/>
                <w:numId w:val="0"/>
              </w:numPr>
              <w:spacing w:after="0" w:line="240" w:lineRule="auto"/>
              <w:rPr>
                <w:color w:val="1F497D"/>
              </w:rPr>
            </w:pPr>
          </w:p>
        </w:tc>
      </w:tr>
      <w:tr w:rsidR="00814F2C" w:rsidTr="00913A01">
        <w:tc>
          <w:tcPr>
            <w:tcW w:w="335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F2C" w:rsidRDefault="00814F2C" w:rsidP="00913A01">
            <w:pPr>
              <w:numPr>
                <w:ilvl w:val="12"/>
                <w:numId w:val="0"/>
              </w:numPr>
              <w:spacing w:after="0" w:line="240" w:lineRule="auto"/>
              <w:rPr>
                <w:color w:val="1F497D"/>
              </w:rPr>
            </w:pPr>
            <w:r>
              <w:rPr>
                <w:color w:val="1F497D"/>
              </w:rPr>
              <w:t>przy normalnej eksploatacji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F2C" w:rsidRDefault="00814F2C" w:rsidP="00913A01">
            <w:pPr>
              <w:numPr>
                <w:ilvl w:val="12"/>
                <w:numId w:val="0"/>
              </w:numPr>
              <w:spacing w:after="0" w:line="240" w:lineRule="auto"/>
              <w:rPr>
                <w:color w:val="1F497D"/>
              </w:rPr>
            </w:pPr>
            <w:r>
              <w:rPr>
                <w:color w:val="1F497D"/>
              </w:rPr>
              <w:t>40 m</w:t>
            </w:r>
            <w:r>
              <w:rPr>
                <w:color w:val="1F497D"/>
                <w:vertAlign w:val="superscript"/>
              </w:rPr>
              <w:t>3</w:t>
            </w:r>
            <w:r>
              <w:rPr>
                <w:color w:val="1F497D"/>
              </w:rPr>
              <w:t>/godz.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F2C" w:rsidRDefault="00814F2C" w:rsidP="00913A01">
            <w:pPr>
              <w:numPr>
                <w:ilvl w:val="12"/>
                <w:numId w:val="0"/>
              </w:numPr>
              <w:spacing w:after="0" w:line="240" w:lineRule="auto"/>
              <w:rPr>
                <w:color w:val="1F497D"/>
              </w:rPr>
            </w:pPr>
            <w:r>
              <w:rPr>
                <w:color w:val="1F497D"/>
              </w:rPr>
              <w:t>80 m</w:t>
            </w:r>
            <w:r>
              <w:rPr>
                <w:color w:val="1F497D"/>
                <w:vertAlign w:val="superscript"/>
              </w:rPr>
              <w:t>3</w:t>
            </w:r>
            <w:r>
              <w:rPr>
                <w:color w:val="1F497D"/>
              </w:rPr>
              <w:t>/godz.</w:t>
            </w:r>
          </w:p>
        </w:tc>
      </w:tr>
      <w:tr w:rsidR="00814F2C" w:rsidTr="00913A01">
        <w:tc>
          <w:tcPr>
            <w:tcW w:w="335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F2C" w:rsidRDefault="00814F2C" w:rsidP="00913A01">
            <w:pPr>
              <w:numPr>
                <w:ilvl w:val="12"/>
                <w:numId w:val="0"/>
              </w:numPr>
              <w:spacing w:after="0" w:line="240" w:lineRule="auto"/>
              <w:rPr>
                <w:color w:val="1F497D"/>
              </w:rPr>
            </w:pPr>
            <w:r>
              <w:rPr>
                <w:color w:val="1F497D"/>
              </w:rPr>
              <w:t>maksymalna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F2C" w:rsidRDefault="00814F2C" w:rsidP="00913A01">
            <w:pPr>
              <w:numPr>
                <w:ilvl w:val="12"/>
                <w:numId w:val="0"/>
              </w:numPr>
              <w:spacing w:after="0" w:line="240" w:lineRule="auto"/>
              <w:rPr>
                <w:color w:val="1F497D"/>
              </w:rPr>
            </w:pPr>
            <w:r>
              <w:rPr>
                <w:color w:val="1F497D"/>
              </w:rPr>
              <w:t>........ m</w:t>
            </w:r>
            <w:r>
              <w:rPr>
                <w:color w:val="1F497D"/>
                <w:vertAlign w:val="superscript"/>
              </w:rPr>
              <w:t>3</w:t>
            </w:r>
            <w:r>
              <w:rPr>
                <w:color w:val="1F497D"/>
              </w:rPr>
              <w:t>/godz.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F2C" w:rsidRDefault="00814F2C" w:rsidP="00913A01">
            <w:pPr>
              <w:numPr>
                <w:ilvl w:val="12"/>
                <w:numId w:val="0"/>
              </w:numPr>
              <w:spacing w:after="0" w:line="240" w:lineRule="auto"/>
              <w:rPr>
                <w:color w:val="1F497D"/>
              </w:rPr>
            </w:pPr>
            <w:r>
              <w:rPr>
                <w:color w:val="1F497D"/>
              </w:rPr>
              <w:t>........ m</w:t>
            </w:r>
            <w:r>
              <w:rPr>
                <w:color w:val="1F497D"/>
                <w:vertAlign w:val="superscript"/>
              </w:rPr>
              <w:t>3</w:t>
            </w:r>
            <w:r>
              <w:rPr>
                <w:color w:val="1F497D"/>
              </w:rPr>
              <w:t>/godz.</w:t>
            </w:r>
          </w:p>
        </w:tc>
      </w:tr>
    </w:tbl>
    <w:p w:rsidR="00814F2C" w:rsidRDefault="00814F2C" w:rsidP="00814F2C">
      <w:pPr>
        <w:spacing w:after="0"/>
        <w:rPr>
          <w:rFonts w:ascii="Calibri" w:hAnsi="Calibri" w:cs="Calibri"/>
          <w:color w:val="1F497D"/>
        </w:rPr>
      </w:pPr>
      <w:r>
        <w:rPr>
          <w:color w:val="1F497D"/>
        </w:rPr>
        <w:t>Powierzchnia zaprojektowana</w:t>
      </w:r>
    </w:p>
    <w:p w:rsidR="00814F2C" w:rsidRDefault="00814F2C" w:rsidP="00814F2C">
      <w:pPr>
        <w:spacing w:after="0"/>
        <w:rPr>
          <w:color w:val="1F497D"/>
        </w:rPr>
      </w:pPr>
      <w:r>
        <w:rPr>
          <w:color w:val="1F497D"/>
        </w:rPr>
        <w:t>Szybkość załadunku</w:t>
      </w:r>
    </w:p>
    <w:p w:rsidR="00814F2C" w:rsidRDefault="00814F2C" w:rsidP="00814F2C">
      <w:pPr>
        <w:spacing w:after="0"/>
        <w:rPr>
          <w:color w:val="1F497D"/>
        </w:rPr>
      </w:pPr>
      <w:r>
        <w:rPr>
          <w:color w:val="1F497D"/>
        </w:rPr>
        <w:t>normalna - 8 m/godz.</w:t>
      </w:r>
    </w:p>
    <w:p w:rsidR="00814F2C" w:rsidRDefault="00814F2C" w:rsidP="00814F2C">
      <w:pPr>
        <w:spacing w:after="0"/>
        <w:rPr>
          <w:color w:val="1F497D"/>
        </w:rPr>
      </w:pPr>
      <w:r>
        <w:rPr>
          <w:color w:val="1F497D"/>
        </w:rPr>
        <w:t>Maksymalna - .... m/godz.</w:t>
      </w:r>
    </w:p>
    <w:p w:rsidR="00814F2C" w:rsidRDefault="00814F2C" w:rsidP="00814F2C">
      <w:pPr>
        <w:spacing w:after="0"/>
        <w:rPr>
          <w:color w:val="1F497D"/>
        </w:rPr>
      </w:pPr>
      <w:r>
        <w:rPr>
          <w:color w:val="1F497D"/>
        </w:rPr>
        <w:t>Efektywna głębokość warstwy - 1,5 m</w:t>
      </w:r>
    </w:p>
    <w:p w:rsidR="00814F2C" w:rsidRDefault="00814F2C" w:rsidP="00814F2C">
      <w:pPr>
        <w:spacing w:after="0"/>
        <w:rPr>
          <w:color w:val="1F497D"/>
        </w:rPr>
      </w:pPr>
      <w:r>
        <w:rPr>
          <w:color w:val="1F497D"/>
        </w:rPr>
        <w:t>piasek do filtra: patrz kolumna 2 w „Specyfikacji piasku”.</w:t>
      </w:r>
    </w:p>
    <w:p w:rsidR="00814F2C" w:rsidRDefault="00814F2C" w:rsidP="00814F2C">
      <w:pPr>
        <w:spacing w:after="0"/>
        <w:rPr>
          <w:color w:val="1F497D"/>
        </w:rPr>
      </w:pPr>
      <w:r>
        <w:rPr>
          <w:color w:val="1F497D"/>
        </w:rPr>
        <w:t>Specyfikacja piasku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0"/>
        <w:gridCol w:w="1843"/>
      </w:tblGrid>
      <w:tr w:rsidR="00814F2C" w:rsidTr="00913A01">
        <w:tc>
          <w:tcPr>
            <w:tcW w:w="52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F2C" w:rsidRDefault="00814F2C" w:rsidP="00913A01">
            <w:pPr>
              <w:numPr>
                <w:ilvl w:val="12"/>
                <w:numId w:val="0"/>
              </w:numPr>
              <w:spacing w:after="0" w:line="240" w:lineRule="auto"/>
              <w:rPr>
                <w:color w:val="1F497D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F2C" w:rsidRDefault="00814F2C" w:rsidP="00913A01">
            <w:pPr>
              <w:spacing w:after="0" w:line="240" w:lineRule="auto"/>
              <w:rPr>
                <w:color w:val="1F497D"/>
              </w:rPr>
            </w:pPr>
          </w:p>
        </w:tc>
      </w:tr>
      <w:tr w:rsidR="00814F2C" w:rsidTr="00913A01">
        <w:tc>
          <w:tcPr>
            <w:tcW w:w="52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F2C" w:rsidRDefault="00814F2C" w:rsidP="00913A01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hAnsi="Calibri" w:cs="Calibri"/>
                <w:color w:val="1F497D"/>
              </w:rPr>
            </w:pPr>
            <w:r>
              <w:rPr>
                <w:color w:val="1F497D"/>
              </w:rPr>
              <w:t>Oznaczenie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F2C" w:rsidRDefault="00814F2C" w:rsidP="00913A01">
            <w:pPr>
              <w:numPr>
                <w:ilvl w:val="12"/>
                <w:numId w:val="0"/>
              </w:numPr>
              <w:spacing w:after="0" w:line="240" w:lineRule="auto"/>
              <w:rPr>
                <w:color w:val="1F497D"/>
              </w:rPr>
            </w:pPr>
            <w:r>
              <w:rPr>
                <w:color w:val="1F497D"/>
              </w:rPr>
              <w:t>1.2 - 2.0 mm</w:t>
            </w:r>
          </w:p>
        </w:tc>
      </w:tr>
      <w:tr w:rsidR="00814F2C" w:rsidTr="00913A01">
        <w:tc>
          <w:tcPr>
            <w:tcW w:w="52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F2C" w:rsidRDefault="00814F2C" w:rsidP="00913A01">
            <w:pPr>
              <w:numPr>
                <w:ilvl w:val="12"/>
                <w:numId w:val="0"/>
              </w:numPr>
              <w:spacing w:after="0" w:line="240" w:lineRule="auto"/>
              <w:rPr>
                <w:color w:val="1F497D"/>
              </w:rPr>
            </w:pPr>
            <w:r>
              <w:rPr>
                <w:color w:val="1F497D"/>
              </w:rPr>
              <w:t>Efektywny rozmiar ziarna d10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F2C" w:rsidRDefault="00814F2C" w:rsidP="00913A01">
            <w:pPr>
              <w:numPr>
                <w:ilvl w:val="12"/>
                <w:numId w:val="0"/>
              </w:numPr>
              <w:spacing w:after="0" w:line="240" w:lineRule="auto"/>
              <w:rPr>
                <w:color w:val="1F497D"/>
              </w:rPr>
            </w:pPr>
            <w:r>
              <w:rPr>
                <w:color w:val="1F497D"/>
              </w:rPr>
              <w:t>1.2 +/- 0.05 mm</w:t>
            </w:r>
          </w:p>
        </w:tc>
      </w:tr>
      <w:tr w:rsidR="00814F2C" w:rsidTr="00913A01">
        <w:tc>
          <w:tcPr>
            <w:tcW w:w="52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F2C" w:rsidRDefault="00814F2C" w:rsidP="00913A01">
            <w:pPr>
              <w:numPr>
                <w:ilvl w:val="12"/>
                <w:numId w:val="0"/>
              </w:numPr>
              <w:spacing w:after="0" w:line="240" w:lineRule="auto"/>
              <w:rPr>
                <w:color w:val="1F497D"/>
              </w:rPr>
            </w:pPr>
            <w:r>
              <w:rPr>
                <w:color w:val="1F497D"/>
              </w:rPr>
              <w:t xml:space="preserve">Maksymalnie 1% ziaren większych niż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F2C" w:rsidRDefault="00814F2C" w:rsidP="00913A01">
            <w:pPr>
              <w:numPr>
                <w:ilvl w:val="12"/>
                <w:numId w:val="0"/>
              </w:numPr>
              <w:spacing w:after="0" w:line="240" w:lineRule="auto"/>
              <w:rPr>
                <w:color w:val="1F497D"/>
              </w:rPr>
            </w:pPr>
            <w:r>
              <w:rPr>
                <w:color w:val="1F497D"/>
              </w:rPr>
              <w:t>3 mm</w:t>
            </w:r>
          </w:p>
        </w:tc>
      </w:tr>
      <w:tr w:rsidR="00814F2C" w:rsidTr="00913A01">
        <w:tc>
          <w:tcPr>
            <w:tcW w:w="52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F2C" w:rsidRDefault="00814F2C" w:rsidP="00913A01">
            <w:pPr>
              <w:numPr>
                <w:ilvl w:val="12"/>
                <w:numId w:val="0"/>
              </w:numPr>
              <w:spacing w:after="0" w:line="240" w:lineRule="auto"/>
              <w:rPr>
                <w:color w:val="1F497D"/>
              </w:rPr>
            </w:pPr>
            <w:r>
              <w:rPr>
                <w:color w:val="1F497D"/>
              </w:rPr>
              <w:t xml:space="preserve">Maksymalnie 1% ziaren mniejszych niż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F2C" w:rsidRDefault="00814F2C" w:rsidP="00913A01">
            <w:pPr>
              <w:numPr>
                <w:ilvl w:val="12"/>
                <w:numId w:val="0"/>
              </w:numPr>
              <w:spacing w:after="0" w:line="240" w:lineRule="auto"/>
              <w:rPr>
                <w:color w:val="1F497D"/>
              </w:rPr>
            </w:pPr>
            <w:r>
              <w:rPr>
                <w:color w:val="1F497D"/>
              </w:rPr>
              <w:t>1.0 mm</w:t>
            </w:r>
          </w:p>
        </w:tc>
      </w:tr>
      <w:tr w:rsidR="00814F2C" w:rsidTr="00913A01">
        <w:tc>
          <w:tcPr>
            <w:tcW w:w="52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F2C" w:rsidRDefault="00814F2C" w:rsidP="00913A01">
            <w:pPr>
              <w:numPr>
                <w:ilvl w:val="12"/>
                <w:numId w:val="0"/>
              </w:numPr>
              <w:spacing w:after="0" w:line="240" w:lineRule="auto"/>
              <w:rPr>
                <w:color w:val="1F497D"/>
              </w:rPr>
            </w:pPr>
            <w:r>
              <w:rPr>
                <w:color w:val="1F497D"/>
              </w:rPr>
              <w:t>Współczynnik jednorodności d60/d10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F2C" w:rsidRDefault="00814F2C" w:rsidP="00913A01">
            <w:pPr>
              <w:numPr>
                <w:ilvl w:val="12"/>
                <w:numId w:val="0"/>
              </w:numPr>
              <w:spacing w:after="0" w:line="240" w:lineRule="auto"/>
              <w:rPr>
                <w:color w:val="1F497D"/>
              </w:rPr>
            </w:pPr>
            <w:r>
              <w:rPr>
                <w:color w:val="1F497D"/>
              </w:rPr>
              <w:t>1.5</w:t>
            </w:r>
          </w:p>
        </w:tc>
      </w:tr>
      <w:tr w:rsidR="00814F2C" w:rsidTr="00913A01">
        <w:tc>
          <w:tcPr>
            <w:tcW w:w="52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F2C" w:rsidRDefault="00814F2C" w:rsidP="00913A01">
            <w:pPr>
              <w:numPr>
                <w:ilvl w:val="12"/>
                <w:numId w:val="0"/>
              </w:numPr>
              <w:spacing w:after="0" w:line="240" w:lineRule="auto"/>
              <w:rPr>
                <w:color w:val="1F497D"/>
              </w:rPr>
            </w:pPr>
            <w:r>
              <w:rPr>
                <w:color w:val="1F497D"/>
              </w:rPr>
              <w:t>Rozpuszczalność kwasu chlorowodorowego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F2C" w:rsidRDefault="00814F2C" w:rsidP="00913A01">
            <w:pPr>
              <w:numPr>
                <w:ilvl w:val="12"/>
                <w:numId w:val="0"/>
              </w:numPr>
              <w:spacing w:after="0" w:line="240" w:lineRule="auto"/>
              <w:rPr>
                <w:color w:val="1F497D"/>
              </w:rPr>
            </w:pPr>
          </w:p>
        </w:tc>
      </w:tr>
      <w:tr w:rsidR="00814F2C" w:rsidTr="00913A01">
        <w:tc>
          <w:tcPr>
            <w:tcW w:w="52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F2C" w:rsidRDefault="00814F2C" w:rsidP="00913A01">
            <w:pPr>
              <w:numPr>
                <w:ilvl w:val="12"/>
                <w:numId w:val="0"/>
              </w:numPr>
              <w:spacing w:after="0" w:line="240" w:lineRule="auto"/>
              <w:rPr>
                <w:color w:val="1F497D"/>
              </w:rPr>
            </w:pPr>
            <w:r>
              <w:rPr>
                <w:color w:val="1F497D"/>
              </w:rPr>
              <w:t>Zawartość żelaza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F2C" w:rsidRDefault="00814F2C" w:rsidP="00913A01">
            <w:pPr>
              <w:numPr>
                <w:ilvl w:val="12"/>
                <w:numId w:val="0"/>
              </w:numPr>
              <w:spacing w:after="0" w:line="240" w:lineRule="auto"/>
              <w:rPr>
                <w:color w:val="1F497D"/>
              </w:rPr>
            </w:pPr>
          </w:p>
        </w:tc>
      </w:tr>
      <w:tr w:rsidR="00814F2C" w:rsidTr="00913A01">
        <w:tc>
          <w:tcPr>
            <w:tcW w:w="523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F2C" w:rsidRDefault="00814F2C" w:rsidP="00913A01">
            <w:pPr>
              <w:numPr>
                <w:ilvl w:val="12"/>
                <w:numId w:val="0"/>
              </w:numPr>
              <w:spacing w:after="0" w:line="240" w:lineRule="auto"/>
              <w:rPr>
                <w:color w:val="1F497D"/>
              </w:rPr>
            </w:pPr>
            <w:r>
              <w:rPr>
                <w:color w:val="1F497D"/>
              </w:rPr>
              <w:t>Zawartość próchnicy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F2C" w:rsidRDefault="00814F2C" w:rsidP="00913A01">
            <w:pPr>
              <w:numPr>
                <w:ilvl w:val="12"/>
                <w:numId w:val="0"/>
              </w:numPr>
              <w:spacing w:after="0" w:line="240" w:lineRule="auto"/>
              <w:rPr>
                <w:color w:val="1F497D"/>
              </w:rPr>
            </w:pPr>
          </w:p>
        </w:tc>
      </w:tr>
    </w:tbl>
    <w:p w:rsidR="00814F2C" w:rsidRPr="00814F2C" w:rsidRDefault="00814F2C" w:rsidP="00814F2C">
      <w:pPr>
        <w:numPr>
          <w:ilvl w:val="12"/>
          <w:numId w:val="0"/>
        </w:numPr>
        <w:spacing w:before="60"/>
        <w:rPr>
          <w:rFonts w:ascii="Calibri" w:hAnsi="Calibri" w:cs="Calibri"/>
          <w:color w:val="1F497D"/>
        </w:rPr>
      </w:pPr>
      <w:r>
        <w:rPr>
          <w:color w:val="1F497D"/>
        </w:rPr>
        <w:t>Wykorzystywany piasek będzie to piasek naturalny (nie zmielony) o typie nie-graniastym lub pół-graniastym i będzie składał się z kwarcu lub skalenia.</w:t>
      </w:r>
      <w:r>
        <w:rPr>
          <w:rFonts w:ascii="Calibri" w:hAnsi="Calibri" w:cs="Calibri"/>
          <w:color w:val="1F497D"/>
        </w:rPr>
        <w:t xml:space="preserve"> </w:t>
      </w:r>
      <w:r>
        <w:rPr>
          <w:color w:val="1F497D"/>
        </w:rPr>
        <w:t>Piasek nie będzie zawierał gliny, części organicznych  czy miki.</w:t>
      </w:r>
    </w:p>
    <w:p w:rsidR="00814F2C" w:rsidRDefault="00615592" w:rsidP="006155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eastAsia="pl-PL"/>
        </w:rPr>
      </w:pPr>
      <w:r w:rsidRPr="00615592">
        <w:rPr>
          <w:rFonts w:ascii="Calibri" w:hAnsi="Calibri" w:cs="Calibri"/>
          <w:color w:val="000000"/>
          <w:lang w:eastAsia="pl-PL"/>
        </w:rPr>
        <w:t>Dotyczy dokumentu: „SIWZ", rozdział 4.3, pkt 4.3.7 - węzeł odwadniania osadów.</w:t>
      </w:r>
    </w:p>
    <w:p w:rsidR="00615592" w:rsidRPr="00814F2C" w:rsidRDefault="00615592" w:rsidP="00814F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/>
          <w:lang w:eastAsia="pl-PL"/>
        </w:rPr>
      </w:pPr>
      <w:r w:rsidRPr="00814F2C">
        <w:rPr>
          <w:rFonts w:ascii="Calibri" w:hAnsi="Calibri" w:cs="Calibri"/>
          <w:i/>
          <w:iCs/>
          <w:color w:val="000000"/>
          <w:sz w:val="20"/>
          <w:szCs w:val="20"/>
          <w:u w:val="single"/>
          <w:lang w:eastAsia="pl-PL"/>
        </w:rPr>
        <w:t>W celu właściwego doboru wirówek dekantacyjnych prosimy o przekazanie badań laboratoryjnych szlamu (zawartość suchej masy, uwodnienie, gęstość, analiza chemiczna)</w:t>
      </w:r>
    </w:p>
    <w:p w:rsidR="00814F2C" w:rsidRDefault="00814F2C" w:rsidP="00814F2C">
      <w:pPr>
        <w:rPr>
          <w:color w:val="1F497D"/>
        </w:rPr>
      </w:pPr>
      <w:r w:rsidRPr="00732071">
        <w:rPr>
          <w:rFonts w:ascii="Calibri" w:hAnsi="Calibri" w:cs="Calibri"/>
          <w:i/>
          <w:iCs/>
          <w:color w:val="000000"/>
          <w:sz w:val="20"/>
          <w:szCs w:val="20"/>
          <w:u w:val="single"/>
          <w:lang w:eastAsia="pl-PL"/>
        </w:rPr>
        <w:t>Odp.</w:t>
      </w:r>
      <w:r>
        <w:rPr>
          <w:b/>
          <w:bCs/>
          <w:color w:val="1F497D"/>
        </w:rPr>
        <w:t xml:space="preserve"> </w:t>
      </w:r>
      <w:r w:rsidRPr="00732071">
        <w:rPr>
          <w:b/>
          <w:bCs/>
          <w:i/>
          <w:color w:val="1F497D"/>
        </w:rPr>
        <w:t>Ad</w:t>
      </w:r>
      <w:r w:rsidRPr="00732071">
        <w:rPr>
          <w:i/>
          <w:color w:val="1F497D"/>
        </w:rPr>
        <w:t>.</w:t>
      </w:r>
      <w:r w:rsidRPr="00732071">
        <w:rPr>
          <w:b/>
          <w:bCs/>
          <w:i/>
          <w:color w:val="1F497D"/>
        </w:rPr>
        <w:t>8</w:t>
      </w:r>
      <w:r>
        <w:rPr>
          <w:color w:val="FF0000"/>
        </w:rPr>
        <w:t xml:space="preserve"> </w:t>
      </w:r>
      <w:r>
        <w:rPr>
          <w:color w:val="1F497D"/>
        </w:rPr>
        <w:t xml:space="preserve">Zamawiający dysponuje pojedynczymi historycznymi analizami szlamu z roku 2026 ( plik analiza szlamu z IOS 2016 ) i roku 2018 ( plik Załącznik nr 1 Analiza szlamu z IOS).  Parametry uzyskane po modernizacji oczyszczalni ścieków mogą różnić się od podanych danych historycznych. </w:t>
      </w:r>
    </w:p>
    <w:p w:rsidR="00814F2C" w:rsidRDefault="00615592" w:rsidP="006155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eastAsia="pl-PL"/>
        </w:rPr>
      </w:pPr>
      <w:r w:rsidRPr="00615592">
        <w:rPr>
          <w:rFonts w:ascii="Calibri" w:hAnsi="Calibri" w:cs="Calibri"/>
          <w:color w:val="000000"/>
          <w:lang w:eastAsia="pl-PL"/>
        </w:rPr>
        <w:t>Dotyczy dokumentu: „SIWZ", rozdział 3.5 - jakość ścieków surowych.</w:t>
      </w:r>
    </w:p>
    <w:p w:rsidR="00615592" w:rsidRPr="00814F2C" w:rsidRDefault="00615592" w:rsidP="00814F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/>
          <w:lang w:eastAsia="pl-PL"/>
        </w:rPr>
      </w:pPr>
      <w:r w:rsidRPr="00814F2C">
        <w:rPr>
          <w:rFonts w:ascii="Calibri" w:hAnsi="Calibri" w:cs="Calibri"/>
          <w:i/>
          <w:iCs/>
          <w:color w:val="000000"/>
          <w:sz w:val="20"/>
          <w:szCs w:val="20"/>
          <w:u w:val="single"/>
          <w:lang w:eastAsia="pl-PL"/>
        </w:rPr>
        <w:t xml:space="preserve">W celu analizy pracy </w:t>
      </w:r>
      <w:proofErr w:type="spellStart"/>
      <w:r w:rsidRPr="00814F2C">
        <w:rPr>
          <w:rFonts w:ascii="Calibri" w:hAnsi="Calibri" w:cs="Calibri"/>
          <w:i/>
          <w:iCs/>
          <w:color w:val="000000"/>
          <w:sz w:val="20"/>
          <w:szCs w:val="20"/>
          <w:u w:val="single"/>
          <w:lang w:eastAsia="pl-PL"/>
        </w:rPr>
        <w:t>istniejgcej</w:t>
      </w:r>
      <w:proofErr w:type="spellEnd"/>
      <w:r w:rsidRPr="00814F2C">
        <w:rPr>
          <w:rFonts w:ascii="Calibri" w:hAnsi="Calibri" w:cs="Calibri"/>
          <w:i/>
          <w:iCs/>
          <w:color w:val="000000"/>
          <w:sz w:val="20"/>
          <w:szCs w:val="20"/>
          <w:u w:val="single"/>
          <w:lang w:eastAsia="pl-PL"/>
        </w:rPr>
        <w:t xml:space="preserve"> oczyszczalni ścieków prosimy po podanie wyników badań jakości ścieków surowych i oczyszczonych w dłuższym przedziale czasowym np. z ostatniego półrocza.</w:t>
      </w:r>
    </w:p>
    <w:p w:rsidR="004A20F1" w:rsidRDefault="00814F2C" w:rsidP="004A20F1">
      <w:pPr>
        <w:rPr>
          <w:color w:val="1F497D"/>
        </w:rPr>
      </w:pPr>
      <w:r>
        <w:rPr>
          <w:rFonts w:ascii="Calibri" w:hAnsi="Calibri" w:cs="Calibri"/>
          <w:i/>
          <w:iCs/>
          <w:color w:val="000000"/>
          <w:sz w:val="20"/>
          <w:szCs w:val="20"/>
          <w:u w:val="single"/>
          <w:lang w:eastAsia="pl-PL"/>
        </w:rPr>
        <w:t xml:space="preserve">Odp. </w:t>
      </w:r>
      <w:r w:rsidR="004A20F1">
        <w:rPr>
          <w:b/>
          <w:bCs/>
          <w:color w:val="1F497D"/>
        </w:rPr>
        <w:t>Ad</w:t>
      </w:r>
      <w:r w:rsidR="004A20F1">
        <w:rPr>
          <w:color w:val="1F497D"/>
        </w:rPr>
        <w:t>.</w:t>
      </w:r>
      <w:r w:rsidR="004A20F1">
        <w:rPr>
          <w:b/>
          <w:bCs/>
          <w:color w:val="1F497D"/>
        </w:rPr>
        <w:t>9</w:t>
      </w:r>
      <w:r w:rsidR="004A20F1">
        <w:rPr>
          <w:color w:val="FF0000"/>
        </w:rPr>
        <w:t xml:space="preserve"> </w:t>
      </w:r>
      <w:r w:rsidR="004A20F1">
        <w:rPr>
          <w:color w:val="1F497D"/>
        </w:rPr>
        <w:t>Zamawiający dysponuje wynikami monitoringu jakości ścieków oczyszczonych. Dane z roku 2019 przedstawia w załączniku (Załącznik nr 2 Analiza ścieków z  IOS)</w:t>
      </w:r>
    </w:p>
    <w:p w:rsidR="004A20F1" w:rsidRPr="00814F2C" w:rsidRDefault="00814F2C" w:rsidP="000A6CC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814F2C">
        <w:rPr>
          <w:b/>
        </w:rPr>
        <w:t xml:space="preserve"> </w:t>
      </w:r>
      <w:r w:rsidR="00F60C7F" w:rsidRPr="00814F2C">
        <w:rPr>
          <w:b/>
        </w:rPr>
        <w:t>MODYFIKACJA ZAPISU pkt. 11.7.10 UMOWY</w:t>
      </w:r>
    </w:p>
    <w:p w:rsidR="0040197D" w:rsidRDefault="00EA23B8" w:rsidP="004A20F1">
      <w:pPr>
        <w:rPr>
          <w:color w:val="1F497D"/>
        </w:rPr>
      </w:pPr>
      <w:r>
        <w:rPr>
          <w:color w:val="1F497D"/>
        </w:rPr>
        <w:t>W pkt. 11.7.1</w:t>
      </w:r>
      <w:r w:rsidR="0040197D">
        <w:rPr>
          <w:color w:val="1F497D"/>
        </w:rPr>
        <w:t>0 umowy zapisano błędnie wartość gwarantowaną dla Cynku [Zn]</w:t>
      </w:r>
    </w:p>
    <w:p w:rsidR="0040197D" w:rsidRDefault="0040197D" w:rsidP="004A20F1">
      <w:pPr>
        <w:rPr>
          <w:color w:val="1F497D"/>
        </w:rPr>
      </w:pPr>
      <w:r>
        <w:rPr>
          <w:noProof/>
          <w:lang w:eastAsia="pl-PL"/>
        </w:rPr>
        <w:drawing>
          <wp:inline distT="0" distB="0" distL="0" distR="0" wp14:anchorId="0A5AE594" wp14:editId="1B6CA463">
            <wp:extent cx="3042558" cy="371658"/>
            <wp:effectExtent l="0" t="0" r="571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7604" cy="391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0F1" w:rsidRDefault="004A20F1" w:rsidP="004A20F1">
      <w:pPr>
        <w:rPr>
          <w:color w:val="000000"/>
        </w:rPr>
      </w:pPr>
      <w:r>
        <w:rPr>
          <w:color w:val="1F497D"/>
        </w:rPr>
        <w:t xml:space="preserve">Wartość </w:t>
      </w:r>
      <w:r w:rsidR="00EA23B8">
        <w:rPr>
          <w:color w:val="1F497D"/>
        </w:rPr>
        <w:t xml:space="preserve">gwarantowana dla Cynku [Zn </w:t>
      </w:r>
      <w:r>
        <w:rPr>
          <w:color w:val="1F497D"/>
        </w:rPr>
        <w:t>powinna wynosić 0,2</w:t>
      </w:r>
      <w:r>
        <w:rPr>
          <w:color w:val="000000"/>
        </w:rPr>
        <w:t xml:space="preserve"> [mg/dm</w:t>
      </w:r>
      <w:r>
        <w:rPr>
          <w:color w:val="000000"/>
          <w:vertAlign w:val="superscript"/>
        </w:rPr>
        <w:t>3</w:t>
      </w:r>
      <w:r>
        <w:rPr>
          <w:color w:val="000000"/>
        </w:rPr>
        <w:t>]</w:t>
      </w:r>
    </w:p>
    <w:p w:rsidR="00EA23B8" w:rsidRDefault="00EA23B8" w:rsidP="004A20F1">
      <w:pPr>
        <w:rPr>
          <w:color w:val="1F497D"/>
        </w:rPr>
      </w:pPr>
      <w:r>
        <w:rPr>
          <w:color w:val="000000"/>
        </w:rPr>
        <w:t xml:space="preserve">Zapis pkt </w:t>
      </w:r>
      <w:r>
        <w:rPr>
          <w:color w:val="1F497D"/>
        </w:rPr>
        <w:t>11.7.10 umowy otrzymuje brzmienie: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701"/>
      </w:tblGrid>
      <w:tr w:rsidR="00EA23B8" w:rsidTr="00EA23B8">
        <w:tc>
          <w:tcPr>
            <w:tcW w:w="988" w:type="dxa"/>
          </w:tcPr>
          <w:p w:rsidR="00EA23B8" w:rsidRDefault="00EA23B8" w:rsidP="00615592">
            <w:r>
              <w:t>11.7.10</w:t>
            </w:r>
          </w:p>
        </w:tc>
        <w:tc>
          <w:tcPr>
            <w:tcW w:w="1275" w:type="dxa"/>
          </w:tcPr>
          <w:p w:rsidR="00EA23B8" w:rsidRPr="0086606B" w:rsidRDefault="00EA23B8" w:rsidP="00615592">
            <w:pPr>
              <w:rPr>
                <w:b/>
                <w:color w:val="1F497D"/>
              </w:rPr>
            </w:pPr>
            <w:r w:rsidRPr="0086606B">
              <w:rPr>
                <w:b/>
                <w:color w:val="1F497D"/>
              </w:rPr>
              <w:t>Cynk [Zn]</w:t>
            </w:r>
          </w:p>
        </w:tc>
        <w:tc>
          <w:tcPr>
            <w:tcW w:w="1701" w:type="dxa"/>
          </w:tcPr>
          <w:p w:rsidR="00EA23B8" w:rsidRPr="0086606B" w:rsidRDefault="00EA23B8" w:rsidP="00615592">
            <w:pPr>
              <w:rPr>
                <w:b/>
                <w:color w:val="1F497D"/>
              </w:rPr>
            </w:pPr>
            <w:r w:rsidRPr="0086606B">
              <w:rPr>
                <w:b/>
                <w:color w:val="1F497D"/>
              </w:rPr>
              <w:t>0,2 [mg/dm</w:t>
            </w:r>
            <w:r w:rsidRPr="0086606B">
              <w:rPr>
                <w:b/>
                <w:color w:val="1F497D"/>
                <w:vertAlign w:val="superscript"/>
              </w:rPr>
              <w:t>3</w:t>
            </w:r>
            <w:r w:rsidRPr="0086606B">
              <w:rPr>
                <w:b/>
                <w:color w:val="1F497D"/>
              </w:rPr>
              <w:t>]</w:t>
            </w:r>
          </w:p>
        </w:tc>
      </w:tr>
    </w:tbl>
    <w:p w:rsidR="008D3A3E" w:rsidRDefault="008D3A3E" w:rsidP="00615592"/>
    <w:p w:rsidR="0086606B" w:rsidRDefault="008D3A3E" w:rsidP="006E588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W specyfikacji w miejscach gdzie występuje </w:t>
      </w:r>
      <w:r w:rsidR="0086606B">
        <w:t xml:space="preserve">parametr gwarantowany dla Cynku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5"/>
        <w:gridCol w:w="1701"/>
      </w:tblGrid>
      <w:tr w:rsidR="0086606B" w:rsidTr="00913A01">
        <w:tc>
          <w:tcPr>
            <w:tcW w:w="1275" w:type="dxa"/>
          </w:tcPr>
          <w:p w:rsidR="0086606B" w:rsidRPr="0086606B" w:rsidRDefault="0086606B" w:rsidP="00913A01">
            <w:r w:rsidRPr="0086606B">
              <w:t>Cynk [Zn]</w:t>
            </w:r>
          </w:p>
        </w:tc>
        <w:tc>
          <w:tcPr>
            <w:tcW w:w="1701" w:type="dxa"/>
          </w:tcPr>
          <w:p w:rsidR="0086606B" w:rsidRPr="0086606B" w:rsidRDefault="0086606B" w:rsidP="00913A01">
            <w:r w:rsidRPr="0086606B">
              <w:t>0,02 [mg/dm</w:t>
            </w:r>
            <w:r w:rsidRPr="0086606B">
              <w:rPr>
                <w:vertAlign w:val="superscript"/>
              </w:rPr>
              <w:t>3</w:t>
            </w:r>
            <w:r w:rsidRPr="0086606B">
              <w:t>]</w:t>
            </w:r>
          </w:p>
        </w:tc>
      </w:tr>
    </w:tbl>
    <w:p w:rsidR="0086606B" w:rsidRDefault="0086606B" w:rsidP="00615592">
      <w:r>
        <w:t xml:space="preserve"> Ustala się zmianę 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5"/>
        <w:gridCol w:w="1701"/>
      </w:tblGrid>
      <w:tr w:rsidR="0086606B" w:rsidTr="00913A01">
        <w:tc>
          <w:tcPr>
            <w:tcW w:w="1275" w:type="dxa"/>
          </w:tcPr>
          <w:p w:rsidR="0086606B" w:rsidRPr="0086606B" w:rsidRDefault="0086606B" w:rsidP="00913A01">
            <w:pPr>
              <w:rPr>
                <w:b/>
                <w:color w:val="1F497D"/>
              </w:rPr>
            </w:pPr>
            <w:r w:rsidRPr="0086606B">
              <w:rPr>
                <w:b/>
                <w:color w:val="1F497D"/>
              </w:rPr>
              <w:t>Cynk [Zn]</w:t>
            </w:r>
          </w:p>
        </w:tc>
        <w:tc>
          <w:tcPr>
            <w:tcW w:w="1701" w:type="dxa"/>
          </w:tcPr>
          <w:p w:rsidR="0086606B" w:rsidRPr="0086606B" w:rsidRDefault="0086606B" w:rsidP="00913A01">
            <w:pPr>
              <w:rPr>
                <w:b/>
                <w:color w:val="1F497D"/>
              </w:rPr>
            </w:pPr>
            <w:r w:rsidRPr="0086606B">
              <w:rPr>
                <w:b/>
                <w:color w:val="1F497D"/>
              </w:rPr>
              <w:t>0,2 [mg/dm</w:t>
            </w:r>
            <w:r w:rsidRPr="0086606B">
              <w:rPr>
                <w:b/>
                <w:color w:val="1F497D"/>
                <w:vertAlign w:val="superscript"/>
              </w:rPr>
              <w:t>3</w:t>
            </w:r>
            <w:r w:rsidRPr="0086606B">
              <w:rPr>
                <w:b/>
                <w:color w:val="1F497D"/>
              </w:rPr>
              <w:t>]</w:t>
            </w:r>
          </w:p>
        </w:tc>
      </w:tr>
    </w:tbl>
    <w:p w:rsidR="0086606B" w:rsidRDefault="0086606B" w:rsidP="00615592"/>
    <w:p w:rsidR="00F22C4F" w:rsidRDefault="00F22C4F" w:rsidP="00F22C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Z czego wynikają rozbieżności w warunkach geologicznych podanych w dwóch różnych dokumentach:</w:t>
      </w:r>
    </w:p>
    <w:p w:rsidR="00F22C4F" w:rsidRDefault="00F22C4F" w:rsidP="00F22C4F">
      <w:pPr>
        <w:pStyle w:val="Akapitzlist"/>
        <w:numPr>
          <w:ilvl w:val="0"/>
          <w:numId w:val="6"/>
        </w:numPr>
        <w:rPr>
          <w:b/>
        </w:rPr>
      </w:pPr>
      <w:r>
        <w:rPr>
          <w:b/>
        </w:rPr>
        <w:t>SIWZ Część II str.7 z 104?</w:t>
      </w:r>
    </w:p>
    <w:p w:rsidR="00F22C4F" w:rsidRDefault="00F22C4F" w:rsidP="00F22C4F">
      <w:pPr>
        <w:pStyle w:val="Akapitzlist"/>
        <w:numPr>
          <w:ilvl w:val="0"/>
          <w:numId w:val="6"/>
        </w:numPr>
        <w:rPr>
          <w:b/>
        </w:rPr>
      </w:pPr>
      <w:r>
        <w:rPr>
          <w:b/>
        </w:rPr>
        <w:t>Projekt budowlany/opis (1720.1100 621) str. 15</w:t>
      </w:r>
    </w:p>
    <w:p w:rsidR="00F22C4F" w:rsidRDefault="00F22C4F" w:rsidP="00F22C4F">
      <w:r>
        <w:rPr>
          <w:rFonts w:ascii="Calibri" w:hAnsi="Calibri" w:cs="Calibri"/>
          <w:i/>
          <w:iCs/>
          <w:color w:val="000000"/>
          <w:sz w:val="20"/>
          <w:szCs w:val="20"/>
          <w:u w:val="single"/>
          <w:lang w:eastAsia="pl-PL"/>
        </w:rPr>
        <w:lastRenderedPageBreak/>
        <w:t xml:space="preserve">Odp. </w:t>
      </w:r>
      <w:r>
        <w:rPr>
          <w:b/>
        </w:rPr>
        <w:t>Ad1</w:t>
      </w:r>
      <w:r w:rsidR="006E5889">
        <w:rPr>
          <w:b/>
        </w:rPr>
        <w:t>2</w:t>
      </w:r>
      <w:r>
        <w:rPr>
          <w:b/>
        </w:rPr>
        <w:t>.</w:t>
      </w:r>
    </w:p>
    <w:p w:rsidR="00F22C4F" w:rsidRPr="00F22C4F" w:rsidRDefault="00F22C4F" w:rsidP="00F22C4F">
      <w:pPr>
        <w:rPr>
          <w:color w:val="2F5496" w:themeColor="accent5" w:themeShade="BF"/>
        </w:rPr>
      </w:pPr>
      <w:r w:rsidRPr="00F22C4F">
        <w:rPr>
          <w:color w:val="2F5496" w:themeColor="accent5" w:themeShade="BF"/>
        </w:rPr>
        <w:t>Opis warunków w SIWZ II str. 7 dotyczy warunków ogólnych terenu Elektrowni Połaniec. Opis w przytoczonym projekcie budowlanym (załącznik nr 7 do SIWZ II) dotyczy szczegółowo terenu pod Instalacją Odsiarczania Spalin. Dla celów projektowych należy przyjąć opis przytoczonego projektu budowlanego.</w:t>
      </w:r>
    </w:p>
    <w:p w:rsidR="00F22C4F" w:rsidRPr="00065818" w:rsidRDefault="00F22C4F" w:rsidP="00F22C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65818">
        <w:rPr>
          <w:b/>
        </w:rPr>
        <w:t>Sadząc po datach wykonania pomiarów, których wyniki zamieszczono w tab. 3.5 (str.180) to są prognozy. Kiedy naprawdę zostały wykonane analizy jakości ścieków surowych i oczyszczonych?</w:t>
      </w:r>
    </w:p>
    <w:p w:rsidR="00F22C4F" w:rsidRPr="00F22C4F" w:rsidRDefault="00F22C4F" w:rsidP="00F22C4F">
      <w:pPr>
        <w:spacing w:after="0"/>
        <w:rPr>
          <w:color w:val="2F5496" w:themeColor="accent5" w:themeShade="BF"/>
        </w:rPr>
      </w:pPr>
      <w:r w:rsidRPr="00F22C4F">
        <w:rPr>
          <w:rFonts w:ascii="Calibri" w:hAnsi="Calibri" w:cs="Calibri"/>
          <w:i/>
          <w:iCs/>
          <w:color w:val="2F5496" w:themeColor="accent5" w:themeShade="BF"/>
          <w:sz w:val="20"/>
          <w:szCs w:val="20"/>
          <w:u w:val="single"/>
          <w:lang w:eastAsia="pl-PL"/>
        </w:rPr>
        <w:t xml:space="preserve">Odp. </w:t>
      </w:r>
      <w:r w:rsidRPr="00F22C4F">
        <w:rPr>
          <w:color w:val="2F5496" w:themeColor="accent5" w:themeShade="BF"/>
        </w:rPr>
        <w:t>Ad.1</w:t>
      </w:r>
      <w:r w:rsidR="006E5889">
        <w:rPr>
          <w:color w:val="2F5496" w:themeColor="accent5" w:themeShade="BF"/>
        </w:rPr>
        <w:t>3</w:t>
      </w:r>
      <w:r w:rsidRPr="00F22C4F">
        <w:rPr>
          <w:color w:val="2F5496" w:themeColor="accent5" w:themeShade="BF"/>
        </w:rPr>
        <w:t xml:space="preserve">. </w:t>
      </w:r>
    </w:p>
    <w:p w:rsidR="00F22C4F" w:rsidRPr="00F22C4F" w:rsidRDefault="00F22C4F" w:rsidP="00F22C4F">
      <w:pPr>
        <w:spacing w:after="0"/>
        <w:rPr>
          <w:color w:val="2F5496" w:themeColor="accent5" w:themeShade="BF"/>
        </w:rPr>
      </w:pPr>
      <w:r w:rsidRPr="00F22C4F">
        <w:rPr>
          <w:color w:val="2F5496" w:themeColor="accent5" w:themeShade="BF"/>
        </w:rPr>
        <w:t xml:space="preserve">W tabeli 3.5 podano daty pobrania próbek średniodobowych.  Analizy parametrów chemicznych zostały wykonane tuż po pobraniu próbek, w związku z powyższym nie są to prognozy. Prezentowane wyniki badań wraz z niepewnościami odzwierciedlają aktualny stan ścieków surowych </w:t>
      </w:r>
    </w:p>
    <w:p w:rsidR="00F22C4F" w:rsidRPr="00F22C4F" w:rsidRDefault="00F22C4F" w:rsidP="00F22C4F">
      <w:pPr>
        <w:spacing w:after="0"/>
        <w:rPr>
          <w:color w:val="2F5496" w:themeColor="accent5" w:themeShade="BF"/>
        </w:rPr>
      </w:pPr>
      <w:r w:rsidRPr="00F22C4F">
        <w:rPr>
          <w:color w:val="2F5496" w:themeColor="accent5" w:themeShade="BF"/>
        </w:rPr>
        <w:t xml:space="preserve">i oczyszczonych w oczyszczalni ścieków z IOS przed modernizacją. </w:t>
      </w:r>
    </w:p>
    <w:p w:rsidR="00F22C4F" w:rsidRDefault="00F22C4F" w:rsidP="00F22C4F">
      <w:pPr>
        <w:spacing w:after="0"/>
      </w:pPr>
    </w:p>
    <w:p w:rsidR="00F22C4F" w:rsidRPr="00065818" w:rsidRDefault="00F22C4F" w:rsidP="00F22C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65818">
        <w:rPr>
          <w:b/>
        </w:rPr>
        <w:t xml:space="preserve"> </w:t>
      </w:r>
      <w:r>
        <w:rPr>
          <w:b/>
        </w:rPr>
        <w:t>P</w:t>
      </w:r>
      <w:r w:rsidRPr="00065818">
        <w:rPr>
          <w:b/>
        </w:rPr>
        <w:t>onadto, nie wiadomo na ile wyniki poglądowe z tab. 3.5 odzwierciedlają przedział zmian wartości zamieszczonych w niej parametrów, w szczególności tych objętych spisem parametrów gwarantowanych (tab.7). Jeżeli nie obejmują spodziewanych wartości maksymalnych,  to mogą wystąpić trudności w spełnieniu kryteriów BAT.</w:t>
      </w:r>
    </w:p>
    <w:p w:rsidR="00F22C4F" w:rsidRPr="00F22C4F" w:rsidRDefault="00F22C4F" w:rsidP="00F22C4F">
      <w:pPr>
        <w:spacing w:after="0"/>
        <w:rPr>
          <w:color w:val="2F5496" w:themeColor="accent5" w:themeShade="BF"/>
        </w:rPr>
      </w:pPr>
      <w:r w:rsidRPr="00F22C4F">
        <w:rPr>
          <w:rFonts w:ascii="Calibri" w:hAnsi="Calibri" w:cs="Calibri"/>
          <w:i/>
          <w:iCs/>
          <w:color w:val="2F5496" w:themeColor="accent5" w:themeShade="BF"/>
          <w:sz w:val="20"/>
          <w:szCs w:val="20"/>
          <w:u w:val="single"/>
          <w:lang w:eastAsia="pl-PL"/>
        </w:rPr>
        <w:t xml:space="preserve">Odp. </w:t>
      </w:r>
      <w:r w:rsidRPr="00F22C4F">
        <w:rPr>
          <w:b/>
          <w:bCs/>
          <w:color w:val="2F5496" w:themeColor="accent5" w:themeShade="BF"/>
        </w:rPr>
        <w:t>Ad</w:t>
      </w:r>
      <w:r w:rsidRPr="00F22C4F">
        <w:rPr>
          <w:color w:val="2F5496" w:themeColor="accent5" w:themeShade="BF"/>
        </w:rPr>
        <w:t>.</w:t>
      </w:r>
      <w:r w:rsidRPr="00F22C4F">
        <w:rPr>
          <w:b/>
          <w:bCs/>
          <w:color w:val="2F5496" w:themeColor="accent5" w:themeShade="BF"/>
        </w:rPr>
        <w:t>1</w:t>
      </w:r>
      <w:r w:rsidR="006E5889">
        <w:rPr>
          <w:b/>
          <w:bCs/>
          <w:color w:val="2F5496" w:themeColor="accent5" w:themeShade="BF"/>
        </w:rPr>
        <w:t>4</w:t>
      </w:r>
      <w:r w:rsidRPr="00F22C4F">
        <w:rPr>
          <w:color w:val="2F5496" w:themeColor="accent5" w:themeShade="BF"/>
        </w:rPr>
        <w:t>Wyniki analiz parametrów chemicznych umieszczone w Tab. 3.5  prezentują aktualny stan ścieków surowych i oczyszczonych w oczyszczalni ścieków IOS przed modernizacją (wyniki badań z niepewnościami).  Głównym celem porównania wyników analiz chemicznych ścieków surowych i oczyszczonych było sprawdzenie stopnia oczyszczania oraz wskazanie tych parametrów, których ścieki oczyszczone w aktualnie pracującej oczyszczalni nie spełniają wymagań konkluzji BAT.</w:t>
      </w:r>
    </w:p>
    <w:p w:rsidR="00F22C4F" w:rsidRPr="00F22C4F" w:rsidRDefault="00F22C4F" w:rsidP="00F22C4F">
      <w:pPr>
        <w:spacing w:after="0"/>
        <w:rPr>
          <w:color w:val="2F5496" w:themeColor="accent5" w:themeShade="BF"/>
        </w:rPr>
      </w:pPr>
      <w:r w:rsidRPr="00F22C4F">
        <w:rPr>
          <w:color w:val="2F5496" w:themeColor="accent5" w:themeShade="BF"/>
        </w:rPr>
        <w:t>Zamawiający nie posiada zestawienia pomiarów umożliwiającego wykazanie pełnego spektrum (od wartości minimalnych do wartości maksymalnych) zanieczyszczeń w ściekach surowych</w:t>
      </w:r>
    </w:p>
    <w:p w:rsidR="00F22C4F" w:rsidRDefault="00F22C4F" w:rsidP="00F22C4F">
      <w:pPr>
        <w:rPr>
          <w:b/>
        </w:rPr>
      </w:pPr>
    </w:p>
    <w:p w:rsidR="00F22C4F" w:rsidRPr="00065818" w:rsidRDefault="00F22C4F" w:rsidP="00F22C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 w:rsidRPr="00065818">
        <w:rPr>
          <w:b/>
        </w:rPr>
        <w:t>Brak podania stężenia chlorków i boru w tab.7 prosimy o podanie ww. wartości</w:t>
      </w:r>
    </w:p>
    <w:p w:rsidR="00F22C4F" w:rsidRPr="00F22C4F" w:rsidRDefault="00F22C4F" w:rsidP="00F22C4F">
      <w:pPr>
        <w:spacing w:after="0"/>
        <w:rPr>
          <w:color w:val="2F5496" w:themeColor="accent5" w:themeShade="BF"/>
        </w:rPr>
      </w:pPr>
      <w:r w:rsidRPr="00F22C4F">
        <w:rPr>
          <w:rFonts w:ascii="Calibri" w:hAnsi="Calibri" w:cs="Calibri"/>
          <w:i/>
          <w:iCs/>
          <w:color w:val="2F5496" w:themeColor="accent5" w:themeShade="BF"/>
          <w:sz w:val="20"/>
          <w:szCs w:val="20"/>
          <w:u w:val="single"/>
          <w:lang w:eastAsia="pl-PL"/>
        </w:rPr>
        <w:t xml:space="preserve">Odp. </w:t>
      </w:r>
      <w:r w:rsidRPr="00F22C4F">
        <w:rPr>
          <w:b/>
          <w:bCs/>
          <w:color w:val="2F5496" w:themeColor="accent5" w:themeShade="BF"/>
        </w:rPr>
        <w:t>Ad</w:t>
      </w:r>
      <w:r w:rsidRPr="00F22C4F">
        <w:rPr>
          <w:color w:val="2F5496" w:themeColor="accent5" w:themeShade="BF"/>
        </w:rPr>
        <w:t>.</w:t>
      </w:r>
      <w:r w:rsidRPr="00F22C4F">
        <w:rPr>
          <w:b/>
          <w:bCs/>
          <w:color w:val="2F5496" w:themeColor="accent5" w:themeShade="BF"/>
        </w:rPr>
        <w:t>1</w:t>
      </w:r>
      <w:r w:rsidR="006E5889">
        <w:rPr>
          <w:b/>
          <w:bCs/>
          <w:color w:val="2F5496" w:themeColor="accent5" w:themeShade="BF"/>
        </w:rPr>
        <w:t>5</w:t>
      </w:r>
      <w:r w:rsidRPr="00F22C4F">
        <w:rPr>
          <w:b/>
          <w:bCs/>
          <w:color w:val="2F5496" w:themeColor="accent5" w:themeShade="BF"/>
        </w:rPr>
        <w:t xml:space="preserve">. </w:t>
      </w:r>
      <w:r w:rsidRPr="00F22C4F">
        <w:rPr>
          <w:color w:val="2F5496" w:themeColor="accent5" w:themeShade="BF"/>
        </w:rPr>
        <w:t xml:space="preserve">Brak stężenie chlorków i boru w tab. 7 wynika z braku wartości granicznych dla ww. parametrów w ściekach oczyszczonych z IOS wymienionych w konkluzjach BAT. W tab. 4 (str. 21) zestawiono parametry, które muszą zostać spełnione mając na uwadze Konkluzje Bat i  wymagania </w:t>
      </w:r>
      <w:proofErr w:type="spellStart"/>
      <w:r w:rsidRPr="00F22C4F">
        <w:rPr>
          <w:color w:val="2F5496" w:themeColor="accent5" w:themeShade="BF"/>
        </w:rPr>
        <w:t>RMGMiŻŚ</w:t>
      </w:r>
      <w:proofErr w:type="spellEnd"/>
      <w:r w:rsidRPr="00F22C4F">
        <w:rPr>
          <w:color w:val="2F5496" w:themeColor="accent5" w:themeShade="BF"/>
        </w:rPr>
        <w:t>.  Przytoczone akty prawne nie określają wartości granicznych dla chlorków i boru w ściekach z IOS.</w:t>
      </w:r>
    </w:p>
    <w:p w:rsidR="00F22C4F" w:rsidRPr="00F22C4F" w:rsidRDefault="00F22C4F" w:rsidP="00F22C4F">
      <w:pPr>
        <w:spacing w:after="0"/>
        <w:rPr>
          <w:color w:val="2F5496" w:themeColor="accent5" w:themeShade="BF"/>
        </w:rPr>
      </w:pPr>
      <w:r w:rsidRPr="00F22C4F">
        <w:rPr>
          <w:color w:val="2F5496" w:themeColor="accent5" w:themeShade="BF"/>
        </w:rPr>
        <w:t>W związku z powyższym zamawiający w postepowaniu przetargowym nie limituje zawartości chlorków i boru w ściekach.</w:t>
      </w:r>
    </w:p>
    <w:p w:rsidR="00F22C4F" w:rsidRPr="0093197A" w:rsidRDefault="00F22C4F" w:rsidP="00F22C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93197A">
        <w:rPr>
          <w:b/>
        </w:rPr>
        <w:t xml:space="preserve"> Niejasne są zapisy w p. 4.3.6 na str. 26 z 104</w:t>
      </w:r>
    </w:p>
    <w:p w:rsidR="00F22C4F" w:rsidRDefault="00F22C4F" w:rsidP="00F22C4F">
      <w:pPr>
        <w:pStyle w:val="Akapitzlist"/>
        <w:numPr>
          <w:ilvl w:val="0"/>
          <w:numId w:val="5"/>
        </w:numPr>
      </w:pPr>
      <w:r>
        <w:t>Do jakich metali odnosi się sformułowanie „tych metali”?</w:t>
      </w:r>
    </w:p>
    <w:p w:rsidR="00F22C4F" w:rsidRPr="00F22C4F" w:rsidRDefault="00F22C4F" w:rsidP="00F22C4F">
      <w:pPr>
        <w:spacing w:after="0"/>
        <w:rPr>
          <w:b/>
          <w:bCs/>
          <w:color w:val="2F5496" w:themeColor="accent5" w:themeShade="BF"/>
        </w:rPr>
      </w:pPr>
      <w:r w:rsidRPr="00F22C4F">
        <w:rPr>
          <w:rFonts w:ascii="Calibri" w:hAnsi="Calibri" w:cs="Calibri"/>
          <w:i/>
          <w:iCs/>
          <w:color w:val="2F5496" w:themeColor="accent5" w:themeShade="BF"/>
          <w:sz w:val="20"/>
          <w:szCs w:val="20"/>
          <w:u w:val="single"/>
          <w:lang w:eastAsia="pl-PL"/>
        </w:rPr>
        <w:t xml:space="preserve">Odp. </w:t>
      </w:r>
      <w:r w:rsidRPr="00F22C4F">
        <w:rPr>
          <w:b/>
          <w:bCs/>
          <w:color w:val="2F5496" w:themeColor="accent5" w:themeShade="BF"/>
        </w:rPr>
        <w:t>Ad</w:t>
      </w:r>
      <w:r w:rsidRPr="00F22C4F">
        <w:rPr>
          <w:color w:val="2F5496" w:themeColor="accent5" w:themeShade="BF"/>
        </w:rPr>
        <w:t>.</w:t>
      </w:r>
      <w:r w:rsidRPr="00F22C4F">
        <w:rPr>
          <w:b/>
          <w:bCs/>
          <w:color w:val="2F5496" w:themeColor="accent5" w:themeShade="BF"/>
        </w:rPr>
        <w:t>1</w:t>
      </w:r>
      <w:r w:rsidR="006E5889">
        <w:rPr>
          <w:b/>
          <w:bCs/>
          <w:color w:val="2F5496" w:themeColor="accent5" w:themeShade="BF"/>
        </w:rPr>
        <w:t>6</w:t>
      </w:r>
    </w:p>
    <w:p w:rsidR="00F22C4F" w:rsidRPr="00F22C4F" w:rsidRDefault="00F22C4F" w:rsidP="00F22C4F">
      <w:pPr>
        <w:spacing w:after="0"/>
        <w:rPr>
          <w:color w:val="2F5496" w:themeColor="accent5" w:themeShade="BF"/>
        </w:rPr>
      </w:pPr>
      <w:r w:rsidRPr="00F22C4F">
        <w:rPr>
          <w:color w:val="2F5496" w:themeColor="accent5" w:themeShade="BF"/>
        </w:rPr>
        <w:t xml:space="preserve">Sformułowanie „tych metali” powinno mieć formę „metali” i ma na uwadze w szczególności kadm </w:t>
      </w:r>
    </w:p>
    <w:p w:rsidR="00F22C4F" w:rsidRPr="00F22C4F" w:rsidRDefault="00F22C4F" w:rsidP="00F22C4F">
      <w:pPr>
        <w:spacing w:after="0"/>
        <w:rPr>
          <w:color w:val="2F5496" w:themeColor="accent5" w:themeShade="BF"/>
        </w:rPr>
      </w:pPr>
      <w:r w:rsidRPr="00F22C4F">
        <w:rPr>
          <w:color w:val="2F5496" w:themeColor="accent5" w:themeShade="BF"/>
        </w:rPr>
        <w:t xml:space="preserve">i rtęć. Zaprojektowanie odejścia do tej instalacji ma służyć głównie zabezpieczeniu przed wzrostem emisji kadmu i rtęci wynikającym w głównej mierze ze spalanego paliwa. </w:t>
      </w:r>
    </w:p>
    <w:p w:rsidR="00F22C4F" w:rsidRPr="00F22C4F" w:rsidRDefault="00F22C4F" w:rsidP="00F22C4F">
      <w:pPr>
        <w:pStyle w:val="Akapitzlist"/>
        <w:numPr>
          <w:ilvl w:val="0"/>
          <w:numId w:val="5"/>
        </w:numPr>
        <w:spacing w:after="0"/>
        <w:rPr>
          <w:color w:val="2F5496" w:themeColor="accent5" w:themeShade="BF"/>
        </w:rPr>
      </w:pPr>
      <w:r w:rsidRPr="00F22C4F">
        <w:rPr>
          <w:color w:val="2F5496" w:themeColor="accent5" w:themeShade="BF"/>
        </w:rPr>
        <w:t>Czy odejścia do instalacji jonitów maja być zaprojektowane dla całego strumienia oczyszczania ścieków czy jego części (jakie przewiduje się obciążenie hydrauliczne)</w:t>
      </w:r>
    </w:p>
    <w:p w:rsidR="00F22C4F" w:rsidRPr="00F22C4F" w:rsidRDefault="00F22C4F" w:rsidP="00F22C4F">
      <w:pPr>
        <w:spacing w:after="0"/>
        <w:rPr>
          <w:color w:val="2F5496" w:themeColor="accent5" w:themeShade="BF"/>
        </w:rPr>
      </w:pPr>
      <w:r w:rsidRPr="00F22C4F">
        <w:rPr>
          <w:color w:val="2F5496" w:themeColor="accent5" w:themeShade="BF"/>
        </w:rPr>
        <w:t>Obciążenie hydrauliczne kolumny to Q = 100 m</w:t>
      </w:r>
      <w:r w:rsidRPr="00F22C4F">
        <w:rPr>
          <w:color w:val="2F5496" w:themeColor="accent5" w:themeShade="BF"/>
          <w:vertAlign w:val="superscript"/>
        </w:rPr>
        <w:t>3</w:t>
      </w:r>
      <w:r w:rsidRPr="00F22C4F">
        <w:rPr>
          <w:color w:val="2F5496" w:themeColor="accent5" w:themeShade="BF"/>
        </w:rPr>
        <w:t>/h i H=40 m.</w:t>
      </w:r>
    </w:p>
    <w:p w:rsidR="00F22C4F" w:rsidRDefault="00F22C4F" w:rsidP="00F22C4F">
      <w:pPr>
        <w:spacing w:after="0"/>
      </w:pPr>
    </w:p>
    <w:p w:rsidR="00F22C4F" w:rsidRDefault="00F22C4F" w:rsidP="00F22C4F">
      <w:pPr>
        <w:pStyle w:val="Akapitzlist"/>
      </w:pPr>
    </w:p>
    <w:p w:rsidR="00F22C4F" w:rsidRDefault="006E5889" w:rsidP="006E5889">
      <w:pPr>
        <w:jc w:val="right"/>
      </w:pPr>
      <w:r>
        <w:t xml:space="preserve">Podpis Zamawiającego    </w:t>
      </w:r>
      <w:bookmarkStart w:id="0" w:name="_GoBack"/>
      <w:bookmarkEnd w:id="0"/>
    </w:p>
    <w:p w:rsidR="006E5889" w:rsidRDefault="006E5889" w:rsidP="006E5889">
      <w:pPr>
        <w:jc w:val="right"/>
      </w:pPr>
    </w:p>
    <w:p w:rsidR="006E5889" w:rsidRDefault="006E5889" w:rsidP="006E5889">
      <w:pPr>
        <w:jc w:val="right"/>
      </w:pPr>
      <w:r>
        <w:t>………………………………..</w:t>
      </w:r>
    </w:p>
    <w:sectPr w:rsidR="006E5889" w:rsidSect="007141BE">
      <w:pgSz w:w="11906" w:h="16838"/>
      <w:pgMar w:top="568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BCF3F8C"/>
    <w:multiLevelType w:val="hybridMultilevel"/>
    <w:tmpl w:val="542A6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4C47"/>
    <w:multiLevelType w:val="hybridMultilevel"/>
    <w:tmpl w:val="033A321E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206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FAA279A"/>
    <w:multiLevelType w:val="hybridMultilevel"/>
    <w:tmpl w:val="154431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B04F9"/>
    <w:multiLevelType w:val="hybridMultilevel"/>
    <w:tmpl w:val="542A6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92"/>
    <w:rsid w:val="000A6CC6"/>
    <w:rsid w:val="001E418F"/>
    <w:rsid w:val="001F4E16"/>
    <w:rsid w:val="002F34EA"/>
    <w:rsid w:val="0040197D"/>
    <w:rsid w:val="004373A7"/>
    <w:rsid w:val="004A20F1"/>
    <w:rsid w:val="005910FA"/>
    <w:rsid w:val="00615592"/>
    <w:rsid w:val="006E5889"/>
    <w:rsid w:val="007141BE"/>
    <w:rsid w:val="00732071"/>
    <w:rsid w:val="007B253C"/>
    <w:rsid w:val="00814F2C"/>
    <w:rsid w:val="0086606B"/>
    <w:rsid w:val="00882659"/>
    <w:rsid w:val="008D0971"/>
    <w:rsid w:val="008D3A3E"/>
    <w:rsid w:val="0093010A"/>
    <w:rsid w:val="00933D55"/>
    <w:rsid w:val="00E026C1"/>
    <w:rsid w:val="00EA23B8"/>
    <w:rsid w:val="00F22C4F"/>
    <w:rsid w:val="00F22D57"/>
    <w:rsid w:val="00F6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BBDE0-F3BF-448F-8C38-CB093F43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5592"/>
    <w:pPr>
      <w:ind w:left="720"/>
      <w:contextualSpacing/>
    </w:pPr>
  </w:style>
  <w:style w:type="table" w:styleId="Tabela-Siatka">
    <w:name w:val="Table Grid"/>
    <w:basedOn w:val="Standardowy"/>
    <w:uiPriority w:val="39"/>
    <w:rsid w:val="00EA2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4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1836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4</cp:revision>
  <cp:lastPrinted>2020-01-29T10:59:00Z</cp:lastPrinted>
  <dcterms:created xsi:type="dcterms:W3CDTF">2020-01-29T09:45:00Z</dcterms:created>
  <dcterms:modified xsi:type="dcterms:W3CDTF">2020-01-29T11:01:00Z</dcterms:modified>
</cp:coreProperties>
</file>